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rPr>
          <w:rFonts w:hint="eastAsia" w:ascii="黑体" w:hAnsi="黑体" w:eastAsia="黑体" w:cs="黑体"/>
          <w:b w:val="0"/>
          <w:bCs w:val="0"/>
          <w:kern w:val="0"/>
          <w:sz w:val="32"/>
          <w:szCs w:val="32"/>
          <w:lang w:eastAsia="zh-CN"/>
        </w:rPr>
      </w:pPr>
      <w:bookmarkStart w:id="0" w:name="_GoBack"/>
      <w:bookmarkEnd w:id="0"/>
      <w:r>
        <w:rPr>
          <w:rFonts w:hint="eastAsia" w:ascii="黑体" w:hAnsi="黑体" w:eastAsia="黑体" w:cs="黑体"/>
          <w:b w:val="0"/>
          <w:bCs w:val="0"/>
          <w:kern w:val="0"/>
          <w:sz w:val="32"/>
          <w:szCs w:val="32"/>
          <w:lang w:eastAsia="zh-CN"/>
        </w:rPr>
        <w:t>附件</w:t>
      </w:r>
    </w:p>
    <w:p>
      <w:pPr>
        <w:rPr>
          <w:rFonts w:hint="eastAsia"/>
          <w:lang w:eastAsia="zh-CN"/>
        </w:rPr>
      </w:pPr>
    </w:p>
    <w:p>
      <w:pPr>
        <w:widowControl/>
        <w:spacing w:line="502" w:lineRule="atLeast"/>
        <w:jc w:val="center"/>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鄂州市商品房预</w:t>
      </w:r>
      <w:r>
        <w:rPr>
          <w:rFonts w:hint="eastAsia" w:ascii="方正小标宋简体" w:hAnsi="方正小标宋简体" w:eastAsia="方正小标宋简体" w:cs="方正小标宋简体"/>
          <w:kern w:val="0"/>
          <w:sz w:val="52"/>
          <w:szCs w:val="52"/>
          <w:lang w:eastAsia="zh-CN"/>
        </w:rPr>
        <w:t>（销）</w:t>
      </w:r>
      <w:r>
        <w:rPr>
          <w:rFonts w:hint="eastAsia" w:ascii="方正小标宋简体" w:hAnsi="方正小标宋简体" w:eastAsia="方正小标宋简体" w:cs="方正小标宋简体"/>
          <w:kern w:val="0"/>
          <w:sz w:val="52"/>
          <w:szCs w:val="52"/>
        </w:rPr>
        <w:t>售方案</w:t>
      </w:r>
    </w:p>
    <w:p>
      <w:pPr>
        <w:widowControl/>
        <w:spacing w:line="502" w:lineRule="atLeast"/>
        <w:jc w:val="center"/>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（示范文本）</w:t>
      </w: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widowControl/>
        <w:spacing w:line="502" w:lineRule="atLeast"/>
        <w:jc w:val="center"/>
        <w:rPr>
          <w:rFonts w:ascii="黑体" w:hAnsi="黑体" w:eastAsia="黑体" w:cs="宋体"/>
          <w:kern w:val="0"/>
          <w:sz w:val="52"/>
          <w:szCs w:val="52"/>
        </w:rPr>
      </w:pPr>
    </w:p>
    <w:p>
      <w:pPr>
        <w:keepNext w:val="0"/>
        <w:keepLines w:val="0"/>
        <w:pageBreakBefore w:val="0"/>
        <w:widowControl/>
        <w:kinsoku/>
        <w:wordWrap/>
        <w:overflowPunct/>
        <w:topLinePunct w:val="0"/>
        <w:autoSpaceDE/>
        <w:autoSpaceDN/>
        <w:bidi w:val="0"/>
        <w:adjustRightInd/>
        <w:snapToGrid/>
        <w:spacing w:line="840" w:lineRule="exact"/>
        <w:ind w:left="0" w:leftChars="0" w:firstLine="1257" w:firstLineChars="393"/>
        <w:jc w:val="both"/>
        <w:textAlignment w:val="auto"/>
        <w:outlineLvl w:val="9"/>
        <w:rPr>
          <w:rFonts w:hint="default" w:ascii="宋体" w:hAnsi="宋体" w:eastAsia="宋体" w:cs="宋体"/>
          <w:kern w:val="0"/>
          <w:sz w:val="28"/>
          <w:szCs w:val="28"/>
          <w:u w:val="single"/>
          <w:lang w:val="en-US" w:eastAsia="zh-CN"/>
        </w:rPr>
      </w:pPr>
      <w:r>
        <w:rPr>
          <w:rFonts w:hint="eastAsia" w:ascii="宋体" w:hAnsi="宋体" w:cs="宋体"/>
          <w:kern w:val="0"/>
          <w:sz w:val="32"/>
        </w:rPr>
        <w:t>预</w:t>
      </w:r>
      <w:r>
        <w:rPr>
          <w:rFonts w:hint="eastAsia" w:ascii="宋体" w:hAnsi="宋体" w:cs="宋体"/>
          <w:kern w:val="0"/>
          <w:sz w:val="32"/>
          <w:lang w:eastAsia="zh-CN"/>
        </w:rPr>
        <w:t>（销）</w:t>
      </w:r>
      <w:r>
        <w:rPr>
          <w:rFonts w:hint="eastAsia" w:ascii="宋体" w:hAnsi="宋体" w:cs="宋体"/>
          <w:kern w:val="0"/>
          <w:sz w:val="32"/>
        </w:rPr>
        <w:t>售方案监管</w:t>
      </w:r>
      <w:r>
        <w:rPr>
          <w:rFonts w:ascii="宋体" w:hAnsi="宋体" w:cs="宋体"/>
          <w:kern w:val="0"/>
          <w:sz w:val="32"/>
        </w:rPr>
        <w:t>号</w:t>
      </w:r>
      <w:r>
        <w:rPr>
          <w:rFonts w:hint="eastAsia" w:ascii="宋体" w:hAnsi="宋体" w:cs="宋体"/>
          <w:kern w:val="0"/>
          <w:sz w:val="32"/>
        </w:rPr>
        <w:t>：</w:t>
      </w:r>
      <w:r>
        <w:rPr>
          <w:rFonts w:hint="eastAsia" w:ascii="宋体" w:hAnsi="宋体" w:cs="宋体"/>
          <w:kern w:val="0"/>
          <w:sz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840" w:lineRule="exact"/>
        <w:ind w:left="0" w:leftChars="0" w:firstLine="1257" w:firstLineChars="393"/>
        <w:jc w:val="both"/>
        <w:textAlignment w:val="auto"/>
        <w:outlineLvl w:val="9"/>
        <w:rPr>
          <w:rFonts w:hint="default" w:ascii="宋体" w:hAnsi="宋体" w:eastAsia="宋体" w:cs="宋体"/>
          <w:kern w:val="0"/>
          <w:sz w:val="32"/>
          <w:u w:val="single"/>
          <w:lang w:val="en-US" w:eastAsia="zh-CN"/>
        </w:rPr>
      </w:pPr>
      <w:r>
        <w:rPr>
          <w:rFonts w:ascii="宋体" w:hAnsi="宋体" w:cs="宋体"/>
          <w:kern w:val="0"/>
          <w:sz w:val="32"/>
        </w:rPr>
        <w:t>开</w:t>
      </w:r>
      <w:r>
        <w:rPr>
          <w:rFonts w:hint="eastAsia" w:ascii="宋体" w:hAnsi="宋体" w:cs="宋体"/>
          <w:kern w:val="0"/>
          <w:sz w:val="32"/>
          <w:lang w:val="en-US" w:eastAsia="zh-CN"/>
        </w:rPr>
        <w:t xml:space="preserve">    </w:t>
      </w:r>
      <w:r>
        <w:rPr>
          <w:rFonts w:ascii="宋体" w:hAnsi="宋体" w:cs="宋体"/>
          <w:kern w:val="0"/>
          <w:sz w:val="32"/>
        </w:rPr>
        <w:t>发</w:t>
      </w:r>
      <w:r>
        <w:rPr>
          <w:rFonts w:hint="eastAsia" w:ascii="宋体" w:hAnsi="宋体" w:cs="宋体"/>
          <w:kern w:val="0"/>
          <w:sz w:val="32"/>
          <w:lang w:val="en-US" w:eastAsia="zh-CN"/>
        </w:rPr>
        <w:t xml:space="preserve">    </w:t>
      </w:r>
      <w:r>
        <w:rPr>
          <w:rFonts w:ascii="宋体" w:hAnsi="宋体" w:cs="宋体"/>
          <w:kern w:val="0"/>
          <w:sz w:val="32"/>
        </w:rPr>
        <w:t>企</w:t>
      </w:r>
      <w:r>
        <w:rPr>
          <w:rFonts w:hint="eastAsia" w:ascii="宋体" w:hAnsi="宋体" w:cs="宋体"/>
          <w:kern w:val="0"/>
          <w:sz w:val="32"/>
          <w:lang w:val="en-US" w:eastAsia="zh-CN"/>
        </w:rPr>
        <w:t xml:space="preserve">    </w:t>
      </w:r>
      <w:r>
        <w:rPr>
          <w:rFonts w:ascii="宋体" w:hAnsi="宋体" w:cs="宋体"/>
          <w:kern w:val="0"/>
          <w:sz w:val="32"/>
        </w:rPr>
        <w:t>业</w:t>
      </w:r>
      <w:r>
        <w:rPr>
          <w:rFonts w:hint="eastAsia" w:ascii="宋体" w:hAnsi="宋体" w:cs="宋体"/>
          <w:kern w:val="0"/>
          <w:sz w:val="32"/>
        </w:rPr>
        <w:t>：</w:t>
      </w:r>
      <w:r>
        <w:rPr>
          <w:rFonts w:hint="eastAsia" w:ascii="宋体" w:hAnsi="宋体" w:cs="宋体"/>
          <w:kern w:val="0"/>
          <w:sz w:val="32"/>
          <w:u w:val="single"/>
          <w:lang w:val="en-US" w:eastAsia="zh-CN"/>
        </w:rPr>
        <w:t xml:space="preserve">       （盖  章）  </w:t>
      </w:r>
    </w:p>
    <w:p>
      <w:pPr>
        <w:keepNext w:val="0"/>
        <w:keepLines w:val="0"/>
        <w:pageBreakBefore w:val="0"/>
        <w:widowControl/>
        <w:kinsoku/>
        <w:wordWrap/>
        <w:overflowPunct/>
        <w:topLinePunct w:val="0"/>
        <w:autoSpaceDE/>
        <w:autoSpaceDN/>
        <w:bidi w:val="0"/>
        <w:adjustRightInd/>
        <w:snapToGrid/>
        <w:spacing w:line="840" w:lineRule="exact"/>
        <w:ind w:left="0" w:leftChars="0" w:firstLine="1257" w:firstLineChars="393"/>
        <w:jc w:val="both"/>
        <w:textAlignment w:val="auto"/>
        <w:outlineLvl w:val="9"/>
        <w:rPr>
          <w:rFonts w:hint="default" w:ascii="宋体" w:hAnsi="宋体" w:eastAsia="宋体" w:cs="宋体"/>
          <w:kern w:val="0"/>
          <w:sz w:val="28"/>
          <w:u w:val="single"/>
          <w:lang w:val="en-US" w:eastAsia="zh-CN"/>
        </w:rPr>
      </w:pPr>
      <w:r>
        <w:rPr>
          <w:rFonts w:ascii="宋体" w:hAnsi="宋体" w:cs="宋体"/>
          <w:kern w:val="0"/>
          <w:sz w:val="32"/>
        </w:rPr>
        <w:t>项</w:t>
      </w:r>
      <w:r>
        <w:rPr>
          <w:rFonts w:hint="eastAsia" w:ascii="宋体" w:hAnsi="宋体" w:cs="宋体"/>
          <w:kern w:val="0"/>
          <w:sz w:val="32"/>
          <w:lang w:val="en-US" w:eastAsia="zh-CN"/>
        </w:rPr>
        <w:t xml:space="preserve">    </w:t>
      </w:r>
      <w:r>
        <w:rPr>
          <w:rFonts w:ascii="宋体" w:hAnsi="宋体" w:cs="宋体"/>
          <w:kern w:val="0"/>
          <w:sz w:val="32"/>
        </w:rPr>
        <w:t>目</w:t>
      </w:r>
      <w:r>
        <w:rPr>
          <w:rFonts w:hint="eastAsia" w:ascii="宋体" w:hAnsi="宋体" w:cs="宋体"/>
          <w:kern w:val="0"/>
          <w:sz w:val="32"/>
          <w:lang w:val="en-US" w:eastAsia="zh-CN"/>
        </w:rPr>
        <w:t xml:space="preserve">    </w:t>
      </w:r>
      <w:r>
        <w:rPr>
          <w:rFonts w:ascii="宋体" w:hAnsi="宋体" w:cs="宋体"/>
          <w:kern w:val="0"/>
          <w:sz w:val="32"/>
        </w:rPr>
        <w:t>名</w:t>
      </w:r>
      <w:r>
        <w:rPr>
          <w:rFonts w:hint="eastAsia" w:ascii="宋体" w:hAnsi="宋体" w:cs="宋体"/>
          <w:kern w:val="0"/>
          <w:sz w:val="32"/>
          <w:lang w:val="en-US" w:eastAsia="zh-CN"/>
        </w:rPr>
        <w:t xml:space="preserve">    </w:t>
      </w:r>
      <w:r>
        <w:rPr>
          <w:rFonts w:ascii="宋体" w:hAnsi="宋体" w:cs="宋体"/>
          <w:kern w:val="0"/>
          <w:sz w:val="32"/>
        </w:rPr>
        <w:t>称</w:t>
      </w:r>
      <w:r>
        <w:rPr>
          <w:rFonts w:hint="eastAsia" w:ascii="宋体" w:hAnsi="宋体" w:cs="宋体"/>
          <w:kern w:val="0"/>
          <w:sz w:val="28"/>
        </w:rPr>
        <w:t>：</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840" w:lineRule="exact"/>
        <w:ind w:left="0" w:leftChars="0" w:firstLine="1257" w:firstLineChars="393"/>
        <w:jc w:val="both"/>
        <w:textAlignment w:val="auto"/>
        <w:outlineLvl w:val="9"/>
        <w:rPr>
          <w:rFonts w:hint="default" w:ascii="宋体" w:hAnsi="宋体" w:eastAsia="宋体" w:cs="宋体"/>
          <w:kern w:val="0"/>
          <w:sz w:val="28"/>
          <w:szCs w:val="28"/>
          <w:u w:val="single"/>
          <w:lang w:val="en-US" w:eastAsia="zh-CN"/>
        </w:rPr>
      </w:pPr>
      <w:r>
        <w:rPr>
          <w:rFonts w:hint="eastAsia" w:ascii="宋体" w:hAnsi="宋体" w:cs="宋体"/>
          <w:kern w:val="0"/>
          <w:sz w:val="32"/>
          <w:szCs w:val="32"/>
          <w:lang w:val="en-US" w:eastAsia="zh-CN"/>
        </w:rPr>
        <w:t xml:space="preserve">预（销） 售   </w:t>
      </w:r>
      <w:r>
        <w:rPr>
          <w:rFonts w:hint="eastAsia" w:ascii="宋体" w:hAnsi="宋体" w:cs="宋体"/>
          <w:kern w:val="0"/>
          <w:sz w:val="32"/>
          <w:szCs w:val="32"/>
        </w:rPr>
        <w:t>幢</w:t>
      </w:r>
      <w:r>
        <w:rPr>
          <w:rFonts w:hint="eastAsia" w:ascii="宋体" w:hAnsi="宋体" w:cs="宋体"/>
          <w:kern w:val="0"/>
          <w:sz w:val="32"/>
          <w:szCs w:val="32"/>
          <w:lang w:val="en-US" w:eastAsia="zh-CN"/>
        </w:rPr>
        <w:t xml:space="preserve">  </w:t>
      </w:r>
      <w:r>
        <w:rPr>
          <w:rFonts w:hint="eastAsia" w:ascii="宋体" w:hAnsi="宋体" w:cs="宋体"/>
          <w:kern w:val="0"/>
          <w:sz w:val="32"/>
          <w:szCs w:val="32"/>
        </w:rPr>
        <w:t>号：</w:t>
      </w:r>
      <w:r>
        <w:rPr>
          <w:rFonts w:hint="eastAsia" w:ascii="宋体" w:hAnsi="宋体" w:cs="宋体"/>
          <w:kern w:val="0"/>
          <w:sz w:val="32"/>
          <w:szCs w:val="32"/>
          <w:u w:val="single"/>
          <w:lang w:val="en-US" w:eastAsia="zh-CN"/>
        </w:rPr>
        <w:t xml:space="preserve">   </w:t>
      </w:r>
      <w:r>
        <w:rPr>
          <w:rFonts w:hint="eastAsia" w:ascii="宋体" w:hAnsi="宋体" w:cs="宋体"/>
          <w:kern w:val="0"/>
          <w:sz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840" w:lineRule="exact"/>
        <w:ind w:left="0" w:leftChars="0" w:firstLine="1257" w:firstLineChars="393"/>
        <w:jc w:val="both"/>
        <w:textAlignment w:val="auto"/>
        <w:outlineLvl w:val="9"/>
        <w:rPr>
          <w:rFonts w:ascii="宋体" w:hAnsi="宋体" w:cs="宋体"/>
          <w:kern w:val="0"/>
          <w:sz w:val="28"/>
        </w:rPr>
      </w:pPr>
      <w:r>
        <w:rPr>
          <w:rFonts w:ascii="宋体" w:hAnsi="宋体" w:cs="宋体"/>
          <w:kern w:val="0"/>
          <w:sz w:val="32"/>
        </w:rPr>
        <w:t>申</w:t>
      </w:r>
      <w:r>
        <w:rPr>
          <w:rFonts w:hint="eastAsia" w:ascii="宋体" w:hAnsi="宋体" w:cs="宋体"/>
          <w:kern w:val="0"/>
          <w:sz w:val="32"/>
          <w:lang w:val="en-US" w:eastAsia="zh-CN"/>
        </w:rPr>
        <w:t xml:space="preserve">    </w:t>
      </w:r>
      <w:r>
        <w:rPr>
          <w:rFonts w:ascii="宋体" w:hAnsi="宋体" w:cs="宋体"/>
          <w:kern w:val="0"/>
          <w:sz w:val="32"/>
        </w:rPr>
        <w:t>报</w:t>
      </w:r>
      <w:r>
        <w:rPr>
          <w:rFonts w:hint="eastAsia" w:ascii="宋体" w:hAnsi="宋体" w:cs="宋体"/>
          <w:kern w:val="0"/>
          <w:sz w:val="32"/>
          <w:lang w:val="en-US" w:eastAsia="zh-CN"/>
        </w:rPr>
        <w:t xml:space="preserve">    </w:t>
      </w:r>
      <w:r>
        <w:rPr>
          <w:rFonts w:ascii="宋体" w:hAnsi="宋体" w:cs="宋体"/>
          <w:kern w:val="0"/>
          <w:sz w:val="32"/>
        </w:rPr>
        <w:t>日</w:t>
      </w:r>
      <w:r>
        <w:rPr>
          <w:rFonts w:hint="eastAsia" w:ascii="宋体" w:hAnsi="宋体" w:cs="宋体"/>
          <w:kern w:val="0"/>
          <w:sz w:val="32"/>
          <w:lang w:val="en-US" w:eastAsia="zh-CN"/>
        </w:rPr>
        <w:t xml:space="preserve">    </w:t>
      </w:r>
      <w:r>
        <w:rPr>
          <w:rFonts w:ascii="宋体" w:hAnsi="宋体" w:cs="宋体"/>
          <w:kern w:val="0"/>
          <w:sz w:val="32"/>
        </w:rPr>
        <w:t>期</w:t>
      </w:r>
      <w:r>
        <w:rPr>
          <w:rFonts w:hint="eastAsia" w:ascii="宋体" w:hAnsi="宋体" w:cs="宋体"/>
          <w:kern w:val="0"/>
          <w:sz w:val="32"/>
        </w:rPr>
        <w:t>：</w:t>
      </w:r>
      <w:r>
        <w:rPr>
          <w:rFonts w:hint="eastAsia" w:ascii="宋体" w:hAnsi="宋体" w:cs="宋体"/>
          <w:kern w:val="0"/>
          <w:sz w:val="32"/>
          <w:u w:val="single"/>
          <w:lang w:val="en-US" w:eastAsia="zh-CN"/>
        </w:rPr>
        <w:t xml:space="preserve">                   </w:t>
      </w:r>
      <w:r>
        <w:rPr>
          <w:rFonts w:hint="eastAsia" w:ascii="宋体" w:hAnsi="宋体" w:cs="宋体"/>
          <w:kern w:val="0"/>
          <w:sz w:val="32"/>
        </w:rPr>
        <w:t xml:space="preserve"> </w:t>
      </w:r>
    </w:p>
    <w:p>
      <w:pPr>
        <w:rPr>
          <w:rFonts w:hint="eastAsia" w:ascii="方正小标宋简体" w:eastAsia="方正小标宋简体"/>
          <w:kern w:val="0"/>
          <w:lang w:eastAsia="zh-CN"/>
        </w:rPr>
      </w:pPr>
    </w:p>
    <w:p>
      <w:pPr>
        <w:rPr>
          <w:rFonts w:hint="eastAsia" w:ascii="方正小标宋简体" w:eastAsia="方正小标宋简体"/>
          <w:kern w:val="0"/>
          <w:lang w:eastAsia="zh-CN"/>
        </w:rPr>
      </w:pPr>
    </w:p>
    <w:p>
      <w:pPr>
        <w:rPr>
          <w:rFonts w:hint="eastAsia" w:ascii="方正小标宋简体" w:eastAsia="方正小标宋简体"/>
          <w:kern w:val="0"/>
          <w:lang w:eastAsia="zh-CN"/>
        </w:rPr>
      </w:pPr>
    </w:p>
    <w:p>
      <w:pPr>
        <w:rPr>
          <w:rFonts w:hint="eastAsia" w:ascii="方正小标宋简体" w:eastAsia="方正小标宋简体"/>
          <w:kern w:val="0"/>
          <w:lang w:eastAsia="zh-CN"/>
        </w:rPr>
      </w:pPr>
    </w:p>
    <w:p>
      <w:pPr>
        <w:rPr>
          <w:rFonts w:hint="eastAsia" w:ascii="方正小标宋简体" w:eastAsia="方正小标宋简体"/>
          <w:kern w:val="0"/>
          <w:lang w:eastAsia="zh-CN"/>
        </w:rPr>
      </w:pPr>
    </w:p>
    <w:p>
      <w:pPr>
        <w:widowControl/>
        <w:spacing w:line="502" w:lineRule="atLeast"/>
        <w:jc w:val="center"/>
        <w:rPr>
          <w:rFonts w:ascii="黑体" w:hAnsi="黑体" w:eastAsia="黑体" w:cs="宋体"/>
          <w:spacing w:val="0"/>
          <w:kern w:val="0"/>
          <w:sz w:val="36"/>
          <w:szCs w:val="36"/>
        </w:rPr>
      </w:pPr>
      <w:r>
        <w:rPr>
          <w:rFonts w:hint="eastAsia" w:ascii="黑体" w:hAnsi="黑体" w:eastAsia="黑体" w:cs="宋体"/>
          <w:spacing w:val="0"/>
          <w:kern w:val="0"/>
          <w:sz w:val="36"/>
          <w:szCs w:val="36"/>
        </w:rPr>
        <w:t>填 写 说 明</w:t>
      </w:r>
    </w:p>
    <w:p>
      <w:pPr>
        <w:widowControl/>
        <w:numPr>
          <w:ilvl w:val="0"/>
          <w:numId w:val="0"/>
        </w:numPr>
        <w:spacing w:line="502" w:lineRule="atLeast"/>
        <w:ind w:leftChars="-400"/>
        <w:jc w:val="left"/>
        <w:rPr>
          <w:rFonts w:hint="eastAsia" w:ascii="宋体" w:hAnsi="宋体" w:cs="宋体"/>
          <w:spacing w:val="0"/>
          <w:kern w:val="0"/>
          <w:sz w:val="28"/>
          <w:szCs w:val="28"/>
        </w:rPr>
      </w:pPr>
    </w:p>
    <w:p>
      <w:pPr>
        <w:widowControl/>
        <w:numPr>
          <w:ilvl w:val="0"/>
          <w:numId w:val="0"/>
        </w:numPr>
        <w:spacing w:line="502" w:lineRule="atLeast"/>
        <w:ind w:leftChars="-400" w:firstLine="1680" w:firstLineChars="600"/>
        <w:jc w:val="left"/>
        <w:rPr>
          <w:rFonts w:hint="eastAsia" w:ascii="宋体" w:hAnsi="宋体" w:cs="宋体"/>
          <w:spacing w:val="0"/>
          <w:kern w:val="0"/>
          <w:sz w:val="28"/>
          <w:szCs w:val="28"/>
        </w:rPr>
      </w:pPr>
      <w:r>
        <w:rPr>
          <w:rFonts w:hint="eastAsia" w:ascii="宋体" w:hAnsi="宋体" w:cs="宋体"/>
          <w:spacing w:val="0"/>
          <w:kern w:val="0"/>
          <w:sz w:val="28"/>
          <w:szCs w:val="28"/>
          <w:lang w:val="en-US" w:eastAsia="zh-CN"/>
        </w:rPr>
        <w:t>1、</w:t>
      </w:r>
      <w:r>
        <w:rPr>
          <w:rFonts w:hint="eastAsia" w:ascii="宋体" w:hAnsi="宋体" w:cs="宋体"/>
          <w:spacing w:val="0"/>
          <w:kern w:val="0"/>
          <w:sz w:val="28"/>
          <w:szCs w:val="28"/>
        </w:rPr>
        <w:t>本方案由开发企业自行填写，填写内容必须真实、合法、有效。</w:t>
      </w:r>
    </w:p>
    <w:p>
      <w:pPr>
        <w:widowControl/>
        <w:numPr>
          <w:ilvl w:val="0"/>
          <w:numId w:val="0"/>
        </w:numPr>
        <w:spacing w:line="502" w:lineRule="atLeast"/>
        <w:ind w:left="281" w:leftChars="134" w:firstLine="560" w:firstLineChars="200"/>
        <w:jc w:val="left"/>
        <w:rPr>
          <w:rFonts w:hint="eastAsia" w:ascii="宋体" w:hAnsi="宋体" w:cs="宋体"/>
          <w:spacing w:val="0"/>
          <w:kern w:val="0"/>
          <w:sz w:val="28"/>
          <w:szCs w:val="28"/>
        </w:rPr>
      </w:pPr>
      <w:r>
        <w:rPr>
          <w:rFonts w:hint="eastAsia" w:ascii="宋体" w:hAnsi="宋体" w:cs="宋体"/>
          <w:spacing w:val="0"/>
          <w:kern w:val="0"/>
          <w:sz w:val="28"/>
          <w:szCs w:val="28"/>
        </w:rPr>
        <w:t>2、申请预</w:t>
      </w:r>
      <w:r>
        <w:rPr>
          <w:rFonts w:hint="eastAsia" w:ascii="宋体" w:hAnsi="宋体" w:cs="宋体"/>
          <w:spacing w:val="0"/>
          <w:kern w:val="0"/>
          <w:sz w:val="28"/>
          <w:szCs w:val="28"/>
          <w:lang w:eastAsia="zh-CN"/>
        </w:rPr>
        <w:t>（销）</w:t>
      </w:r>
      <w:r>
        <w:rPr>
          <w:rFonts w:hint="eastAsia" w:ascii="宋体" w:hAnsi="宋体" w:cs="宋体"/>
          <w:spacing w:val="0"/>
          <w:kern w:val="0"/>
          <w:sz w:val="28"/>
          <w:szCs w:val="28"/>
        </w:rPr>
        <w:t>售房屋面积应由具有房地产测绘资格机构预</w:t>
      </w:r>
      <w:r>
        <w:rPr>
          <w:rFonts w:hint="eastAsia" w:ascii="宋体" w:hAnsi="宋体" w:cs="宋体"/>
          <w:spacing w:val="0"/>
          <w:kern w:val="0"/>
          <w:sz w:val="28"/>
          <w:szCs w:val="28"/>
          <w:lang w:eastAsia="zh-CN"/>
        </w:rPr>
        <w:t>（实）</w:t>
      </w:r>
      <w:r>
        <w:rPr>
          <w:rFonts w:hint="eastAsia" w:ascii="宋体" w:hAnsi="宋体" w:cs="宋体"/>
          <w:spacing w:val="0"/>
          <w:kern w:val="0"/>
          <w:sz w:val="28"/>
          <w:szCs w:val="28"/>
        </w:rPr>
        <w:t>测算。</w:t>
      </w:r>
    </w:p>
    <w:p>
      <w:pPr>
        <w:widowControl/>
        <w:numPr>
          <w:ilvl w:val="0"/>
          <w:numId w:val="0"/>
        </w:numPr>
        <w:spacing w:line="502" w:lineRule="atLeast"/>
        <w:ind w:left="281" w:leftChars="134" w:firstLine="560" w:firstLineChars="200"/>
        <w:jc w:val="left"/>
        <w:rPr>
          <w:rFonts w:ascii="宋体" w:hAnsi="宋体" w:cs="宋体"/>
          <w:spacing w:val="0"/>
          <w:kern w:val="0"/>
          <w:sz w:val="28"/>
          <w:szCs w:val="28"/>
        </w:rPr>
      </w:pPr>
      <w:r>
        <w:rPr>
          <w:rFonts w:hint="eastAsia" w:ascii="宋体" w:hAnsi="宋体" w:cs="宋体"/>
          <w:spacing w:val="0"/>
          <w:kern w:val="0"/>
          <w:sz w:val="28"/>
          <w:szCs w:val="28"/>
        </w:rPr>
        <w:t>3、本方案中提交的所有复印件，均应由收件人员与原件核对后，在复印件上加盖“与原件核对一致”印章并签字后方可生效。</w:t>
      </w:r>
      <w:r>
        <w:rPr>
          <w:rFonts w:hint="eastAsia" w:ascii="宋体" w:hAnsi="宋体" w:cs="宋体"/>
          <w:spacing w:val="0"/>
          <w:kern w:val="0"/>
          <w:sz w:val="28"/>
          <w:szCs w:val="28"/>
        </w:rPr>
        <w:br w:type="textWrapping"/>
      </w:r>
      <w:r>
        <w:rPr>
          <w:rFonts w:hint="eastAsia" w:ascii="宋体" w:hAnsi="宋体" w:cs="宋体"/>
          <w:spacing w:val="0"/>
          <w:kern w:val="0"/>
          <w:sz w:val="28"/>
          <w:szCs w:val="28"/>
          <w:lang w:val="en-US" w:eastAsia="zh-CN"/>
        </w:rPr>
        <w:t xml:space="preserve">    </w:t>
      </w:r>
      <w:r>
        <w:rPr>
          <w:rFonts w:hint="eastAsia" w:ascii="宋体" w:hAnsi="宋体" w:cs="宋体"/>
          <w:spacing w:val="0"/>
          <w:kern w:val="0"/>
          <w:sz w:val="28"/>
          <w:szCs w:val="28"/>
        </w:rPr>
        <w:t>4、□为可选项，用“√”或“×”选定。</w:t>
      </w:r>
      <w:r>
        <w:rPr>
          <w:rFonts w:hint="eastAsia" w:ascii="宋体" w:hAnsi="宋体" w:cs="宋体"/>
          <w:spacing w:val="0"/>
          <w:kern w:val="0"/>
          <w:sz w:val="28"/>
          <w:szCs w:val="28"/>
        </w:rPr>
        <w:br w:type="textWrapping"/>
      </w:r>
      <w:r>
        <w:rPr>
          <w:rFonts w:hint="eastAsia" w:ascii="宋体" w:hAnsi="宋体" w:cs="宋体"/>
          <w:spacing w:val="0"/>
          <w:kern w:val="0"/>
          <w:sz w:val="28"/>
          <w:szCs w:val="28"/>
          <w:lang w:val="en-US" w:eastAsia="zh-CN"/>
        </w:rPr>
        <w:t xml:space="preserve">    </w:t>
      </w:r>
      <w:r>
        <w:rPr>
          <w:rFonts w:hint="eastAsia" w:ascii="宋体" w:hAnsi="宋体" w:cs="宋体"/>
          <w:spacing w:val="0"/>
          <w:kern w:val="0"/>
          <w:sz w:val="28"/>
          <w:szCs w:val="28"/>
        </w:rPr>
        <w:t>5、本方案在鄂州市房地产综合业务系统商品房预</w:t>
      </w:r>
      <w:r>
        <w:rPr>
          <w:rFonts w:hint="eastAsia" w:ascii="宋体" w:hAnsi="宋体" w:cs="宋体"/>
          <w:spacing w:val="0"/>
          <w:kern w:val="0"/>
          <w:sz w:val="28"/>
          <w:szCs w:val="28"/>
          <w:lang w:eastAsia="zh-CN"/>
        </w:rPr>
        <w:t>（销）</w:t>
      </w:r>
      <w:r>
        <w:rPr>
          <w:rFonts w:hint="eastAsia" w:ascii="宋体" w:hAnsi="宋体" w:cs="宋体"/>
          <w:spacing w:val="0"/>
          <w:kern w:val="0"/>
          <w:sz w:val="28"/>
          <w:szCs w:val="28"/>
        </w:rPr>
        <w:t xml:space="preserve">售方案申报栏填写，上传并打印提交。 </w:t>
      </w:r>
    </w:p>
    <w:p>
      <w:pPr>
        <w:widowControl/>
        <w:spacing w:after="280" w:line="502" w:lineRule="atLeast"/>
        <w:jc w:val="left"/>
        <w:rPr>
          <w:rFonts w:ascii="宋体" w:hAnsi="宋体" w:cs="宋体"/>
          <w:kern w:val="0"/>
          <w:sz w:val="28"/>
          <w:szCs w:val="28"/>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widowControl/>
        <w:spacing w:line="502" w:lineRule="atLeast"/>
        <w:jc w:val="center"/>
        <w:rPr>
          <w:rFonts w:ascii="宋体" w:hAnsi="宋体" w:cs="宋体"/>
          <w:kern w:val="0"/>
          <w:sz w:val="32"/>
          <w:szCs w:val="32"/>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鄂州市商品房预</w:t>
      </w:r>
      <w:r>
        <w:rPr>
          <w:rFonts w:hint="eastAsia" w:ascii="方正小标宋简体" w:hAnsi="方正小标宋简体" w:eastAsia="方正小标宋简体" w:cs="方正小标宋简体"/>
          <w:b w:val="0"/>
          <w:bCs w:val="0"/>
          <w:kern w:val="0"/>
          <w:sz w:val="44"/>
          <w:szCs w:val="44"/>
          <w:lang w:eastAsia="zh-CN"/>
        </w:rPr>
        <w:t>（销）</w:t>
      </w:r>
      <w:r>
        <w:rPr>
          <w:rFonts w:hint="eastAsia" w:ascii="方正小标宋简体" w:hAnsi="方正小标宋简体" w:eastAsia="方正小标宋简体" w:cs="方正小标宋简体"/>
          <w:b w:val="0"/>
          <w:bCs w:val="0"/>
          <w:kern w:val="0"/>
          <w:sz w:val="44"/>
          <w:szCs w:val="44"/>
        </w:rPr>
        <w:t>售方案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城市房地产管理法》、《城市房地产开发经营管理条例》、《住建部关于进一步加强房地产市场监管完善商品房预售制度有关问题的通知》、《住建部关于进一步规范房地产开发企业经营行为维护房地产市场秩序的通知》等法律法规规章及有关政策精神，制定本方案。</w:t>
      </w:r>
    </w:p>
    <w:p>
      <w:pPr>
        <w:keepNext w:val="0"/>
        <w:keepLines w:val="0"/>
        <w:pageBreakBefore w:val="0"/>
        <w:widowControl/>
        <w:kinsoku/>
        <w:wordWrap/>
        <w:overflowPunct/>
        <w:topLinePunct w:val="0"/>
        <w:autoSpaceDE/>
        <w:autoSpaceDN/>
        <w:bidi w:val="0"/>
        <w:adjustRightInd/>
        <w:snapToGrid/>
        <w:spacing w:after="157" w:afterLines="50" w:line="58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一、开发企业情况</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910"/>
        <w:gridCol w:w="192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开发企业名称</w:t>
            </w:r>
          </w:p>
        </w:tc>
        <w:tc>
          <w:tcPr>
            <w:tcW w:w="675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办公地址</w:t>
            </w:r>
          </w:p>
        </w:tc>
        <w:tc>
          <w:tcPr>
            <w:tcW w:w="675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法定代表人</w:t>
            </w: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19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lang w:eastAsia="zh-CN"/>
              </w:rPr>
            </w:pPr>
            <w:r>
              <w:rPr>
                <w:rFonts w:hint="eastAsia"/>
                <w:sz w:val="24"/>
              </w:rPr>
              <w:t>联系电话</w:t>
            </w:r>
            <w:r>
              <w:rPr>
                <w:rFonts w:hint="eastAsia"/>
                <w:sz w:val="24"/>
                <w:lang w:eastAsia="zh-CN"/>
              </w:rPr>
              <w:t>（手机）</w:t>
            </w:r>
          </w:p>
        </w:tc>
        <w:tc>
          <w:tcPr>
            <w:tcW w:w="191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营业执照号</w:t>
            </w: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19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注册资金</w:t>
            </w:r>
          </w:p>
        </w:tc>
        <w:tc>
          <w:tcPr>
            <w:tcW w:w="191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开发资质号码</w:t>
            </w: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资质等级</w:t>
            </w:r>
          </w:p>
        </w:tc>
        <w:tc>
          <w:tcPr>
            <w:tcW w:w="191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股</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东</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情</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况</w:t>
            </w: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股东姓名（名称）</w:t>
            </w: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29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c>
          <w:tcPr>
            <w:tcW w:w="3848"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6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lang w:eastAsia="zh-CN"/>
              </w:rPr>
              <w:t>备</w:t>
            </w:r>
            <w:r>
              <w:rPr>
                <w:rFonts w:hint="eastAsia"/>
                <w:sz w:val="24"/>
                <w:lang w:val="en-US" w:eastAsia="zh-CN"/>
              </w:rPr>
              <w:t xml:space="preserve">    </w:t>
            </w:r>
            <w:r>
              <w:rPr>
                <w:rFonts w:hint="eastAsia"/>
                <w:sz w:val="24"/>
                <w:lang w:eastAsia="zh-CN"/>
              </w:rPr>
              <w:t>注</w:t>
            </w:r>
          </w:p>
        </w:tc>
        <w:tc>
          <w:tcPr>
            <w:tcW w:w="675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p>
        </w:tc>
      </w:tr>
    </w:tbl>
    <w:p>
      <w:pPr>
        <w:keepNext w:val="0"/>
        <w:keepLines w:val="0"/>
        <w:pageBreakBefore w:val="0"/>
        <w:widowControl/>
        <w:kinsoku/>
        <w:wordWrap/>
        <w:overflowPunct/>
        <w:topLinePunct w:val="0"/>
        <w:autoSpaceDE/>
        <w:autoSpaceDN/>
        <w:bidi w:val="0"/>
        <w:adjustRightInd/>
        <w:snapToGrid/>
        <w:spacing w:after="157" w:afterLines="50" w:line="58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二、开发项目基本情况</w:t>
      </w:r>
    </w:p>
    <w:tbl>
      <w:tblPr>
        <w:tblStyle w:val="8"/>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65"/>
        <w:gridCol w:w="720"/>
        <w:gridCol w:w="255"/>
        <w:gridCol w:w="465"/>
        <w:gridCol w:w="1245"/>
        <w:gridCol w:w="336"/>
        <w:gridCol w:w="1134"/>
        <w:gridCol w:w="17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项目名称</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所在区域</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项目地址</w:t>
            </w:r>
          </w:p>
        </w:tc>
        <w:tc>
          <w:tcPr>
            <w:tcW w:w="6870" w:type="dxa"/>
            <w:gridSpan w:val="6"/>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项目负责人</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rPr>
              <w:t>联系电话</w:t>
            </w:r>
            <w:r>
              <w:rPr>
                <w:rFonts w:hint="eastAsia"/>
                <w:sz w:val="24"/>
                <w:lang w:eastAsia="zh-CN"/>
              </w:rPr>
              <w:t>（手机）</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项目总投资</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项目性质</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项目开工时间</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项目竣工时间</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房屋总幢数</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其中住宅总幢数</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4" w:type="dxa"/>
            <w:gridSpan w:val="4"/>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住宅计划销售单价</w:t>
            </w:r>
          </w:p>
        </w:tc>
        <w:tc>
          <w:tcPr>
            <w:tcW w:w="2046"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44"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非住宅计划销售单价</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建设规模与计划</w:t>
            </w: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期数</w:t>
            </w: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幢数</w:t>
            </w: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幢号</w:t>
            </w: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住宅套数</w:t>
            </w: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非住宅套数</w:t>
            </w: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住宅建筑面积</w:t>
            </w: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非住宅建筑面积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7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6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合计</w:t>
            </w:r>
          </w:p>
        </w:tc>
        <w:tc>
          <w:tcPr>
            <w:tcW w:w="7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72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24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7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71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bl>
    <w:p>
      <w:pPr>
        <w:keepNext w:val="0"/>
        <w:keepLines w:val="0"/>
        <w:pageBreakBefore w:val="0"/>
        <w:widowControl/>
        <w:kinsoku/>
        <w:wordWrap/>
        <w:overflowPunct/>
        <w:topLinePunct w:val="0"/>
        <w:autoSpaceDE/>
        <w:autoSpaceDN/>
        <w:bidi w:val="0"/>
        <w:adjustRightInd/>
        <w:snapToGrid/>
        <w:spacing w:after="157" w:afterLines="50" w:line="58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三、开发项目土地情况</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041"/>
        <w:gridCol w:w="263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土地权利性质</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土地取得方式</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土地出让合同编号</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土地取得时间</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土地出让金</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rPr>
              <w:t>已付土地出让金</w:t>
            </w:r>
            <w:r>
              <w:rPr>
                <w:rFonts w:hint="eastAsia"/>
                <w:sz w:val="24"/>
                <w:lang w:eastAsia="zh-CN"/>
              </w:rPr>
              <w:t>（万元）</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土地用途</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土地权利类型</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土地使用权证号</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土地使用</w:t>
            </w:r>
            <w:r>
              <w:rPr>
                <w:rFonts w:hint="eastAsia"/>
                <w:sz w:val="24"/>
                <w:lang w:eastAsia="zh-CN"/>
              </w:rPr>
              <w:t>权面积</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土地不动产单元号</w:t>
            </w:r>
          </w:p>
        </w:tc>
        <w:tc>
          <w:tcPr>
            <w:tcW w:w="204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63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折合</w:t>
            </w:r>
            <w:r>
              <w:rPr>
                <w:rFonts w:hint="eastAsia"/>
                <w:sz w:val="24"/>
              </w:rPr>
              <w:t>楼面地价</w:t>
            </w:r>
            <w:r>
              <w:rPr>
                <w:rFonts w:hint="eastAsia"/>
                <w:sz w:val="24"/>
                <w:lang w:eastAsia="zh-CN"/>
              </w:rPr>
              <w:t>（元</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63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土地座落</w:t>
            </w:r>
          </w:p>
        </w:tc>
        <w:tc>
          <w:tcPr>
            <w:tcW w:w="630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土地使用期限</w:t>
            </w:r>
          </w:p>
        </w:tc>
        <w:tc>
          <w:tcPr>
            <w:tcW w:w="630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21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备注</w:t>
            </w:r>
          </w:p>
        </w:tc>
        <w:tc>
          <w:tcPr>
            <w:tcW w:w="6308"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bl>
    <w:p>
      <w:pPr>
        <w:rPr>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keepNext w:val="0"/>
        <w:keepLines w:val="0"/>
        <w:pageBreakBefore w:val="0"/>
        <w:widowControl/>
        <w:kinsoku/>
        <w:wordWrap/>
        <w:overflowPunct/>
        <w:topLinePunct w:val="0"/>
        <w:autoSpaceDE/>
        <w:autoSpaceDN/>
        <w:bidi w:val="0"/>
        <w:adjustRightInd/>
        <w:snapToGrid/>
        <w:spacing w:after="157" w:afterLines="50" w:line="58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四、开发项目规划报建许可情况</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2499"/>
        <w:gridCol w:w="204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投资立项批文号</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立项审批部门</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建设用地规划许可证号</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建设工程规划许可证号</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施工许可证</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建设工程规划审批单证号</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规划建筑面积</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其中住宅规划建筑面积</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配套公建面积</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非住宅建筑面积</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地上建筑面积</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地下建筑面积</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规划建设栋数</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建设性质</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容积率</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建设密度</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绿地率</w:t>
            </w:r>
          </w:p>
        </w:tc>
        <w:tc>
          <w:tcPr>
            <w:tcW w:w="249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房屋结构</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施工单位</w:t>
            </w:r>
          </w:p>
        </w:tc>
        <w:tc>
          <w:tcPr>
            <w:tcW w:w="249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联系人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49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设计单位</w:t>
            </w:r>
          </w:p>
        </w:tc>
        <w:tc>
          <w:tcPr>
            <w:tcW w:w="249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联系人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49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监理单位</w:t>
            </w:r>
          </w:p>
        </w:tc>
        <w:tc>
          <w:tcPr>
            <w:tcW w:w="2499"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联系人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499"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46"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rPr>
              <w:t>联系电话</w:t>
            </w:r>
            <w:r>
              <w:rPr>
                <w:rFonts w:hint="eastAsia"/>
                <w:sz w:val="24"/>
                <w:lang w:eastAsia="zh-CN"/>
              </w:rPr>
              <w:t>（手机）</w:t>
            </w:r>
          </w:p>
        </w:tc>
        <w:tc>
          <w:tcPr>
            <w:tcW w:w="1328"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备注</w:t>
            </w:r>
          </w:p>
        </w:tc>
        <w:tc>
          <w:tcPr>
            <w:tcW w:w="5873"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bl>
    <w:p>
      <w:pPr>
        <w:rPr>
          <w:sz w:val="28"/>
          <w:szCs w:val="28"/>
        </w:rPr>
      </w:pPr>
    </w:p>
    <w:p>
      <w:pPr>
        <w:keepNext w:val="0"/>
        <w:keepLines w:val="0"/>
        <w:pageBreakBefore w:val="0"/>
        <w:widowControl/>
        <w:kinsoku/>
        <w:wordWrap/>
        <w:overflowPunct/>
        <w:topLinePunct w:val="0"/>
        <w:autoSpaceDE/>
        <w:autoSpaceDN/>
        <w:bidi w:val="0"/>
        <w:adjustRightInd/>
        <w:snapToGrid/>
        <w:spacing w:after="157" w:afterLines="50" w:line="58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五、开发项目公共配套设施情况</w:t>
      </w:r>
    </w:p>
    <w:tbl>
      <w:tblPr>
        <w:tblStyle w:val="8"/>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185"/>
        <w:gridCol w:w="112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tabs>
                <w:tab w:val="center" w:pos="4153"/>
                <w:tab w:val="right" w:pos="8306"/>
              </w:tabs>
              <w:snapToGrid w:val="0"/>
              <w:spacing w:line="600" w:lineRule="exact"/>
              <w:jc w:val="center"/>
              <w:rPr>
                <w:sz w:val="24"/>
              </w:rPr>
            </w:pPr>
            <w:r>
              <w:rPr>
                <w:rFonts w:hint="eastAsia"/>
                <w:sz w:val="24"/>
              </w:rPr>
              <w:t>名称</w:t>
            </w:r>
          </w:p>
        </w:tc>
        <w:tc>
          <w:tcPr>
            <w:tcW w:w="2799" w:type="dxa"/>
            <w:vAlign w:val="center"/>
          </w:tcPr>
          <w:p>
            <w:pPr>
              <w:tabs>
                <w:tab w:val="center" w:pos="4153"/>
                <w:tab w:val="right" w:pos="8306"/>
              </w:tabs>
              <w:snapToGrid w:val="0"/>
              <w:spacing w:line="600" w:lineRule="exact"/>
              <w:jc w:val="center"/>
              <w:rPr>
                <w:sz w:val="24"/>
              </w:rPr>
            </w:pPr>
            <w:r>
              <w:rPr>
                <w:rFonts w:hint="eastAsia"/>
                <w:sz w:val="24"/>
              </w:rPr>
              <w:t>座落位置</w:t>
            </w:r>
          </w:p>
        </w:tc>
        <w:tc>
          <w:tcPr>
            <w:tcW w:w="118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exact"/>
              <w:jc w:val="center"/>
              <w:textAlignment w:val="auto"/>
              <w:rPr>
                <w:rFonts w:hint="eastAsia" w:eastAsia="宋体"/>
                <w:sz w:val="24"/>
                <w:lang w:eastAsia="zh-CN"/>
              </w:rPr>
            </w:pPr>
            <w:r>
              <w:rPr>
                <w:rFonts w:hint="eastAsia"/>
                <w:sz w:val="24"/>
              </w:rPr>
              <w:t>建筑面积</w:t>
            </w:r>
            <w:r>
              <w:rPr>
                <w:rFonts w:hint="eastAsia"/>
                <w:sz w:val="24"/>
                <w:lang w:eastAsia="zh-CN"/>
              </w:rPr>
              <w:t>（</w:t>
            </w:r>
            <w:r>
              <w:rPr>
                <w:rFonts w:hint="eastAsia"/>
                <w:sz w:val="24"/>
                <w:lang w:val="en-US" w:eastAsia="zh-CN"/>
              </w:rPr>
              <w:t>m</w:t>
            </w:r>
            <w:r>
              <w:rPr>
                <w:rFonts w:hint="eastAsia"/>
                <w:sz w:val="24"/>
                <w:vertAlign w:val="superscript"/>
                <w:lang w:val="en-US" w:eastAsia="zh-CN"/>
              </w:rPr>
              <w:t>2</w:t>
            </w:r>
            <w:r>
              <w:rPr>
                <w:rFonts w:hint="eastAsia"/>
                <w:sz w:val="24"/>
                <w:lang w:eastAsia="zh-CN"/>
              </w:rPr>
              <w:t>）</w:t>
            </w:r>
          </w:p>
        </w:tc>
        <w:tc>
          <w:tcPr>
            <w:tcW w:w="1129"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sz w:val="24"/>
                <w:lang w:eastAsia="zh-CN"/>
              </w:rPr>
            </w:pPr>
            <w:r>
              <w:rPr>
                <w:rFonts w:hint="eastAsia"/>
                <w:sz w:val="24"/>
              </w:rPr>
              <w:t>交付</w:t>
            </w:r>
            <w:r>
              <w:rPr>
                <w:rFonts w:hint="eastAsia"/>
                <w:sz w:val="24"/>
                <w:lang w:eastAsia="zh-CN"/>
              </w:rPr>
              <w:t>或计划</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sz w:val="24"/>
              </w:rPr>
            </w:pPr>
            <w:r>
              <w:rPr>
                <w:rFonts w:hint="eastAsia"/>
                <w:sz w:val="24"/>
              </w:rPr>
              <w:t>时间</w:t>
            </w:r>
          </w:p>
        </w:tc>
        <w:tc>
          <w:tcPr>
            <w:tcW w:w="1901"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20" w:lineRule="exact"/>
              <w:jc w:val="center"/>
              <w:textAlignment w:val="auto"/>
              <w:rPr>
                <w:rFonts w:hint="eastAsia" w:eastAsia="宋体"/>
                <w:sz w:val="24"/>
                <w:lang w:eastAsia="zh-CN"/>
              </w:rPr>
            </w:pPr>
            <w:r>
              <w:rPr>
                <w:rFonts w:hint="eastAsia"/>
                <w:sz w:val="24"/>
              </w:rPr>
              <w:t>权属</w:t>
            </w:r>
            <w:r>
              <w:rPr>
                <w:rFonts w:hint="eastAsia"/>
                <w:sz w:val="24"/>
                <w:lang w:eastAsia="zh-CN"/>
              </w:rPr>
              <w:t>（注明属全体业主或开发企业或政府所有）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物业管理用房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社区服务用房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lang w:eastAsia="zh-CN"/>
              </w:rPr>
              <w:t>社区</w:t>
            </w:r>
            <w:r>
              <w:rPr>
                <w:rFonts w:hint="eastAsia"/>
                <w:sz w:val="24"/>
              </w:rPr>
              <w:t>养老用房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幼儿园</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会所</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中小学校</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商业用房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治安管理用房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消防用房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配电用房</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电动自行车棚</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供电开闭所</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文化活动室</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架空层</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70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其他配套设施</w:t>
            </w:r>
          </w:p>
        </w:tc>
        <w:tc>
          <w:tcPr>
            <w:tcW w:w="279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85"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129"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c>
          <w:tcPr>
            <w:tcW w:w="1901" w:type="dxa"/>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704" w:type="dxa"/>
            <w:vAlign w:val="center"/>
          </w:tcPr>
          <w:p>
            <w:pPr>
              <w:tabs>
                <w:tab w:val="center" w:pos="4153"/>
                <w:tab w:val="right" w:pos="8306"/>
              </w:tabs>
              <w:snapToGrid w:val="0"/>
              <w:spacing w:line="600" w:lineRule="exact"/>
              <w:jc w:val="center"/>
              <w:rPr>
                <w:sz w:val="24"/>
              </w:rPr>
            </w:pPr>
            <w:r>
              <w:rPr>
                <w:rFonts w:hint="eastAsia"/>
                <w:sz w:val="24"/>
              </w:rPr>
              <w:t>地下车库情况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w:t>
            </w:r>
            <w:r>
              <w:rPr>
                <w:rFonts w:hint="eastAsia"/>
                <w:sz w:val="24"/>
              </w:rPr>
              <w:t>区</w:t>
            </w:r>
            <w:r>
              <w:rPr>
                <w:rFonts w:hint="eastAsia"/>
                <w:sz w:val="24"/>
                <w:lang w:eastAsia="zh-CN"/>
              </w:rPr>
              <w:t>内</w:t>
            </w:r>
            <w:r>
              <w:rPr>
                <w:rFonts w:hint="eastAsia"/>
                <w:sz w:val="24"/>
              </w:rPr>
              <w:t>用</w:t>
            </w:r>
            <w:r>
              <w:rPr>
                <w:rFonts w:hint="eastAsia"/>
                <w:sz w:val="24"/>
                <w:lang w:eastAsia="zh-CN"/>
              </w:rPr>
              <w:t>于地下</w:t>
            </w:r>
            <w:r>
              <w:rPr>
                <w:rFonts w:hint="eastAsia"/>
                <w:sz w:val="24"/>
              </w:rPr>
              <w:t>停放汽车的车库（包括专用车库和共用车库的车位）共（  ）个，权属</w:t>
            </w:r>
            <w:r>
              <w:rPr>
                <w:rFonts w:hint="eastAsia"/>
                <w:sz w:val="24"/>
                <w:lang w:eastAsia="zh-CN"/>
              </w:rPr>
              <w:t>根据规划设计规定</w:t>
            </w:r>
            <w:r>
              <w:rPr>
                <w:rFonts w:hint="eastAsia"/>
                <w:sz w:val="24"/>
              </w:rPr>
              <w:t>在商品房买卖合同中约定。</w:t>
            </w:r>
            <w:r>
              <w:rPr>
                <w:rFonts w:hint="eastAsia"/>
                <w:sz w:val="24"/>
                <w:lang w:eastAsia="zh-CN"/>
              </w:rPr>
              <w:t>总</w:t>
            </w:r>
            <w:r>
              <w:rPr>
                <w:rFonts w:hint="eastAsia"/>
                <w:sz w:val="24"/>
              </w:rPr>
              <w:t>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704" w:type="dxa"/>
            <w:vAlign w:val="center"/>
          </w:tcPr>
          <w:p>
            <w:pPr>
              <w:tabs>
                <w:tab w:val="center" w:pos="4153"/>
                <w:tab w:val="right" w:pos="8306"/>
              </w:tabs>
              <w:snapToGrid w:val="0"/>
              <w:spacing w:line="600" w:lineRule="exact"/>
              <w:jc w:val="center"/>
              <w:rPr>
                <w:sz w:val="24"/>
              </w:rPr>
            </w:pPr>
            <w:r>
              <w:rPr>
                <w:rFonts w:hint="eastAsia"/>
                <w:sz w:val="24"/>
              </w:rPr>
              <w:t>地上车位情况</w:t>
            </w:r>
          </w:p>
        </w:tc>
        <w:tc>
          <w:tcPr>
            <w:tcW w:w="7014" w:type="dxa"/>
            <w:gridSpan w:val="4"/>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40" w:lineRule="exact"/>
              <w:textAlignment w:val="auto"/>
              <w:rPr>
                <w:sz w:val="24"/>
              </w:rPr>
            </w:pPr>
            <w:r>
              <w:rPr>
                <w:rFonts w:hint="eastAsia"/>
                <w:sz w:val="24"/>
                <w:lang w:eastAsia="zh-CN"/>
              </w:rPr>
              <w:t>小区地上</w:t>
            </w:r>
            <w:r>
              <w:rPr>
                <w:rFonts w:hint="eastAsia"/>
                <w:sz w:val="24"/>
              </w:rPr>
              <w:t>用于停放汽车位（   ）个，权属</w:t>
            </w:r>
            <w:r>
              <w:rPr>
                <w:rFonts w:hint="eastAsia"/>
                <w:sz w:val="24"/>
                <w:lang w:eastAsia="zh-CN"/>
              </w:rPr>
              <w:t>根据规划设计规定</w:t>
            </w:r>
            <w:r>
              <w:rPr>
                <w:rFonts w:hint="eastAsia"/>
                <w:sz w:val="24"/>
              </w:rPr>
              <w:t>在商品房买卖合同中约定。占用业主共有的道路和其他场地用于停放汽车车位共（   ）个，属全体业主共有。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tabs>
                <w:tab w:val="center" w:pos="4153"/>
                <w:tab w:val="right" w:pos="8306"/>
              </w:tabs>
              <w:snapToGrid w:val="0"/>
              <w:spacing w:line="600" w:lineRule="exact"/>
              <w:jc w:val="center"/>
              <w:rPr>
                <w:sz w:val="24"/>
              </w:rPr>
            </w:pPr>
            <w:r>
              <w:rPr>
                <w:rFonts w:hint="eastAsia"/>
                <w:sz w:val="24"/>
              </w:rPr>
              <w:t>备注</w:t>
            </w:r>
          </w:p>
        </w:tc>
        <w:tc>
          <w:tcPr>
            <w:tcW w:w="7014" w:type="dxa"/>
            <w:gridSpan w:val="4"/>
          </w:tcPr>
          <w:p>
            <w:pPr>
              <w:tabs>
                <w:tab w:val="center" w:pos="4153"/>
                <w:tab w:val="right" w:pos="8306"/>
              </w:tabs>
              <w:snapToGrid w:val="0"/>
              <w:spacing w:line="600" w:lineRule="exact"/>
              <w:rPr>
                <w:sz w:val="24"/>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、本批次申请预</w:t>
      </w:r>
      <w:r>
        <w:rPr>
          <w:rFonts w:hint="eastAsia" w:ascii="黑体" w:hAnsi="黑体" w:eastAsia="黑体" w:cs="黑体"/>
          <w:b w:val="0"/>
          <w:bCs w:val="0"/>
          <w:sz w:val="32"/>
          <w:szCs w:val="32"/>
          <w:lang w:eastAsia="zh-CN"/>
        </w:rPr>
        <w:t>（销）</w:t>
      </w:r>
      <w:r>
        <w:rPr>
          <w:rFonts w:hint="eastAsia" w:ascii="黑体" w:hAnsi="黑体" w:eastAsia="黑体" w:cs="黑体"/>
          <w:b w:val="0"/>
          <w:bCs w:val="0"/>
          <w:sz w:val="32"/>
          <w:szCs w:val="32"/>
        </w:rPr>
        <w:t>售项目情况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（一）本次申报预（销）售房屋情况</w:t>
      </w:r>
    </w:p>
    <w:tbl>
      <w:tblPr>
        <w:tblStyle w:val="8"/>
        <w:tblW w:w="8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980"/>
        <w:gridCol w:w="1020"/>
        <w:gridCol w:w="1140"/>
        <w:gridCol w:w="201"/>
        <w:gridCol w:w="1444"/>
        <w:gridCol w:w="1335"/>
        <w:gridCol w:w="11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申报幢号</w:t>
            </w:r>
          </w:p>
        </w:tc>
        <w:tc>
          <w:tcPr>
            <w:tcW w:w="5603" w:type="dxa"/>
            <w:gridSpan w:val="6"/>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拟开盘时间</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装修程度</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预</w:t>
            </w:r>
            <w:r>
              <w:rPr>
                <w:rFonts w:hint="eastAsia"/>
                <w:sz w:val="24"/>
                <w:lang w:eastAsia="zh-CN"/>
              </w:rPr>
              <w:t>（销）</w:t>
            </w:r>
            <w:r>
              <w:rPr>
                <w:rFonts w:hint="eastAsia"/>
                <w:sz w:val="24"/>
              </w:rPr>
              <w:t>售建筑面积</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预</w:t>
            </w:r>
            <w:r>
              <w:rPr>
                <w:rFonts w:hint="eastAsia"/>
                <w:sz w:val="24"/>
                <w:lang w:eastAsia="zh-CN"/>
              </w:rPr>
              <w:t>（销）</w:t>
            </w:r>
            <w:r>
              <w:rPr>
                <w:rFonts w:hint="eastAsia"/>
                <w:sz w:val="24"/>
              </w:rPr>
              <w:t>售套数</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其中住宅套数</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住宅建筑面积</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其中商业套数</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商业建筑面积</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其中车库（车位）间数</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车库（车位）面积</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其中办公套（间）数</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办公面积</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924"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其中工业用途套（间）数</w:t>
            </w:r>
          </w:p>
        </w:tc>
        <w:tc>
          <w:tcPr>
            <w:tcW w:w="1341"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889" w:type="dxa"/>
            <w:gridSpan w:val="3"/>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工业用途面积</w:t>
            </w:r>
          </w:p>
        </w:tc>
        <w:tc>
          <w:tcPr>
            <w:tcW w:w="1373"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restart"/>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预</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测</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情</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况</w:t>
            </w:r>
          </w:p>
        </w:tc>
        <w:tc>
          <w:tcPr>
            <w:tcW w:w="200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测绘单位</w:t>
            </w:r>
          </w:p>
        </w:tc>
        <w:tc>
          <w:tcPr>
            <w:tcW w:w="5603" w:type="dxa"/>
            <w:gridSpan w:val="6"/>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0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测绘资质</w:t>
            </w:r>
          </w:p>
        </w:tc>
        <w:tc>
          <w:tcPr>
            <w:tcW w:w="5603" w:type="dxa"/>
            <w:gridSpan w:val="6"/>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2000"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经备案的测绘</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报告编号</w:t>
            </w:r>
          </w:p>
        </w:tc>
        <w:tc>
          <w:tcPr>
            <w:tcW w:w="5603" w:type="dxa"/>
            <w:gridSpan w:val="6"/>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幢号</w:t>
            </w:r>
          </w:p>
        </w:tc>
        <w:tc>
          <w:tcPr>
            <w:tcW w:w="10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结构</w:t>
            </w:r>
          </w:p>
        </w:tc>
        <w:tc>
          <w:tcPr>
            <w:tcW w:w="114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总层数</w:t>
            </w:r>
          </w:p>
        </w:tc>
        <w:tc>
          <w:tcPr>
            <w:tcW w:w="1645"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lang w:eastAsia="zh-CN"/>
              </w:rPr>
              <w:t>建筑</w:t>
            </w:r>
            <w:r>
              <w:rPr>
                <w:rFonts w:hint="eastAsia"/>
                <w:sz w:val="24"/>
              </w:rPr>
              <w:t>面积</w:t>
            </w:r>
          </w:p>
        </w:tc>
        <w:tc>
          <w:tcPr>
            <w:tcW w:w="133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分摊面积</w:t>
            </w:r>
          </w:p>
        </w:tc>
        <w:tc>
          <w:tcPr>
            <w:tcW w:w="1483"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r>
              <w:rPr>
                <w:rFonts w:hint="eastAsia"/>
                <w:sz w:val="24"/>
              </w:rPr>
              <w:t>分摊系数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0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14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645"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33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83"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0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14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645"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33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83"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0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14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645"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33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83"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Merge w:val="continue"/>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98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02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140"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645"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335"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c>
          <w:tcPr>
            <w:tcW w:w="1483" w:type="dxa"/>
            <w:gridSpan w:val="2"/>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合计</w:t>
            </w:r>
          </w:p>
        </w:tc>
        <w:tc>
          <w:tcPr>
            <w:tcW w:w="7603" w:type="dxa"/>
            <w:gridSpan w:val="8"/>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4" w:type="dxa"/>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eastAsia="宋体"/>
                <w:sz w:val="24"/>
                <w:lang w:eastAsia="zh-CN"/>
              </w:rPr>
            </w:pPr>
            <w:r>
              <w:rPr>
                <w:rFonts w:hint="eastAsia"/>
                <w:sz w:val="24"/>
                <w:lang w:eastAsia="zh-CN"/>
              </w:rPr>
              <w:t>备注</w:t>
            </w:r>
          </w:p>
        </w:tc>
        <w:tc>
          <w:tcPr>
            <w:tcW w:w="7603" w:type="dxa"/>
            <w:gridSpan w:val="8"/>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auto"/>
              <w:jc w:val="center"/>
              <w:textAlignment w:val="auto"/>
              <w:outlineLvl w:val="9"/>
              <w:rPr>
                <w:rFonts w:hint="eastAsia"/>
                <w:sz w:val="24"/>
              </w:rPr>
            </w:pPr>
            <w:r>
              <w:rPr>
                <w:rFonts w:hint="eastAsia"/>
                <w:sz w:val="24"/>
              </w:rPr>
              <w:t>每户预</w:t>
            </w:r>
            <w:r>
              <w:rPr>
                <w:rFonts w:hint="eastAsia"/>
                <w:sz w:val="24"/>
                <w:lang w:eastAsia="zh-CN"/>
              </w:rPr>
              <w:t>（实）</w:t>
            </w:r>
            <w:r>
              <w:rPr>
                <w:rFonts w:hint="eastAsia"/>
                <w:sz w:val="24"/>
              </w:rPr>
              <w:t>测建筑面积、套内面积、分摊面积、用途详见附表</w:t>
            </w:r>
          </w:p>
        </w:tc>
      </w:tr>
    </w:tbl>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（二）建设进度（该项为预售申报内容，现售不申报）：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本次申请预售商品房已达到</w:t>
      </w:r>
      <w:r>
        <w:rPr>
          <w:rFonts w:hint="eastAsia" w:ascii="仿宋_GB2312" w:hAnsi="仿宋_GB2312" w:eastAsia="仿宋_GB2312" w:cs="仿宋_GB2312"/>
          <w:kern w:val="0"/>
          <w:sz w:val="32"/>
          <w:szCs w:val="32"/>
          <w:lang w:eastAsia="zh-CN"/>
        </w:rPr>
        <w:t>我市</w:t>
      </w:r>
      <w:r>
        <w:rPr>
          <w:rFonts w:hint="eastAsia" w:ascii="仿宋_GB2312" w:hAnsi="仿宋_GB2312" w:eastAsia="仿宋_GB2312" w:cs="仿宋_GB2312"/>
          <w:kern w:val="0"/>
          <w:sz w:val="32"/>
          <w:szCs w:val="32"/>
        </w:rPr>
        <w:t>规定的工程形象进度，建设进度计划如下：</w:t>
      </w:r>
    </w:p>
    <w:tbl>
      <w:tblPr>
        <w:tblStyle w:val="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预售幢号</w:t>
            </w:r>
          </w:p>
        </w:tc>
        <w:tc>
          <w:tcPr>
            <w:tcW w:w="1744" w:type="dxa"/>
            <w:vAlign w:val="center"/>
          </w:tcPr>
          <w:p>
            <w:pPr>
              <w:spacing w:line="520" w:lineRule="exact"/>
              <w:jc w:val="center"/>
              <w:rPr>
                <w:rFonts w:hint="eastAsia" w:eastAsia="宋体"/>
                <w:sz w:val="24"/>
                <w:szCs w:val="24"/>
                <w:vertAlign w:val="baseline"/>
                <w:lang w:eastAsia="zh-CN"/>
              </w:rPr>
            </w:pPr>
            <w:r>
              <w:rPr>
                <w:rFonts w:hint="eastAsia"/>
                <w:sz w:val="24"/>
                <w:szCs w:val="24"/>
                <w:vertAlign w:val="baseline"/>
                <w:lang w:eastAsia="zh-CN"/>
              </w:rPr>
              <w:t>开工时间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基础完工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工程竣工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时间</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4"/>
                <w:szCs w:val="24"/>
                <w:vertAlign w:val="baseline"/>
                <w:lang w:eastAsia="zh-CN"/>
              </w:rPr>
            </w:pPr>
            <w:r>
              <w:rPr>
                <w:rFonts w:hint="eastAsia"/>
                <w:sz w:val="24"/>
                <w:szCs w:val="24"/>
                <w:vertAlign w:val="baseline"/>
                <w:lang w:eastAsia="zh-CN"/>
              </w:rPr>
              <w:t>商品房交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sz w:val="24"/>
                <w:szCs w:val="24"/>
                <w:vertAlign w:val="baseline"/>
                <w:lang w:eastAsia="zh-CN"/>
              </w:rPr>
            </w:pPr>
            <w:r>
              <w:rPr>
                <w:rFonts w:hint="eastAsia"/>
                <w:sz w:val="24"/>
                <w:szCs w:val="24"/>
                <w:vertAlign w:val="baseline"/>
                <w:lang w:eastAsia="zh-CN"/>
              </w:rPr>
              <w:t>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c>
          <w:tcPr>
            <w:tcW w:w="1744" w:type="dxa"/>
          </w:tcPr>
          <w:p>
            <w:pPr>
              <w:spacing w:line="520" w:lineRule="exact"/>
              <w:rPr>
                <w:rFonts w:hint="eastAsia"/>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目前进度情况</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（附件：监理公司相关证明）</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（三）价格情况：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房地产开发企业应当根据开发建设成本、合理利润等因素合理慎重确定商品住宅销售价格。住房和城乡建设部门会同相关部门对预</w:t>
      </w:r>
      <w:r>
        <w:rPr>
          <w:rFonts w:hint="eastAsia" w:ascii="仿宋_GB2312" w:hAnsi="仿宋_GB2312" w:eastAsia="仿宋_GB2312" w:cs="仿宋_GB2312"/>
          <w:kern w:val="0"/>
          <w:sz w:val="32"/>
          <w:szCs w:val="32"/>
          <w:lang w:eastAsia="zh-CN"/>
        </w:rPr>
        <w:t>（销）</w:t>
      </w:r>
      <w:r>
        <w:rPr>
          <w:rFonts w:hint="eastAsia" w:ascii="仿宋_GB2312" w:hAnsi="仿宋_GB2312" w:eastAsia="仿宋_GB2312" w:cs="仿宋_GB2312"/>
          <w:kern w:val="0"/>
          <w:sz w:val="32"/>
          <w:szCs w:val="32"/>
        </w:rPr>
        <w:t>售方案提报的商品住宅销售均价进行合理指导。对于涨幅明显过高且不接受价格指导的项目，住房和城乡建设部门可暂缓办理《商品房预售许可证》</w:t>
      </w:r>
      <w:r>
        <w:rPr>
          <w:rFonts w:hint="eastAsia" w:ascii="仿宋_GB2312" w:hAnsi="仿宋_GB2312" w:eastAsia="仿宋_GB2312" w:cs="仿宋_GB2312"/>
          <w:kern w:val="0"/>
          <w:sz w:val="32"/>
          <w:szCs w:val="32"/>
          <w:lang w:eastAsia="zh-CN"/>
        </w:rPr>
        <w:t>或《商品房现售备案证明》</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销售的房屋价格</w:t>
      </w:r>
    </w:p>
    <w:tbl>
      <w:tblPr>
        <w:tblStyle w:val="8"/>
        <w:tblW w:w="9400" w:type="dxa"/>
        <w:tblInd w:w="0" w:type="dxa"/>
        <w:tblLayout w:type="fixed"/>
        <w:tblCellMar>
          <w:top w:w="15" w:type="dxa"/>
          <w:left w:w="15" w:type="dxa"/>
          <w:bottom w:w="15" w:type="dxa"/>
          <w:right w:w="15" w:type="dxa"/>
        </w:tblCellMar>
      </w:tblPr>
      <w:tblGrid>
        <w:gridCol w:w="528"/>
        <w:gridCol w:w="1242"/>
        <w:gridCol w:w="722"/>
        <w:gridCol w:w="1120"/>
        <w:gridCol w:w="1180"/>
        <w:gridCol w:w="984"/>
        <w:gridCol w:w="1211"/>
        <w:gridCol w:w="1422"/>
        <w:gridCol w:w="991"/>
      </w:tblGrid>
      <w:tr>
        <w:tblPrEx>
          <w:tblLayout w:type="fixed"/>
          <w:tblCellMar>
            <w:top w:w="15" w:type="dxa"/>
            <w:left w:w="15" w:type="dxa"/>
            <w:bottom w:w="15" w:type="dxa"/>
            <w:right w:w="15" w:type="dxa"/>
          </w:tblCellMar>
        </w:tblPrEx>
        <w:trPr>
          <w:trHeight w:val="1239" w:hRule="atLeast"/>
          <w:tblHeader/>
        </w:trPr>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rPr>
              <w:t>序号</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ascii="宋体" w:hAnsi="宋体" w:cs="宋体"/>
                <w:bCs/>
                <w:color w:val="000000"/>
                <w:kern w:val="0"/>
                <w:sz w:val="24"/>
              </w:rPr>
              <w:t>坐落位置</w:t>
            </w:r>
            <w:r>
              <w:rPr>
                <w:rFonts w:ascii="宋体" w:hAnsi="宋体" w:cs="宋体"/>
                <w:bCs/>
                <w:color w:val="000000"/>
                <w:kern w:val="0"/>
                <w:sz w:val="24"/>
              </w:rPr>
              <w:br w:type="textWrapping"/>
            </w:r>
            <w:r>
              <w:rPr>
                <w:rFonts w:ascii="宋体" w:hAnsi="宋体" w:cs="宋体"/>
                <w:bCs/>
                <w:color w:val="000000"/>
                <w:kern w:val="0"/>
                <w:sz w:val="24"/>
              </w:rPr>
              <w:t>(</w:t>
            </w:r>
            <w:r>
              <w:rPr>
                <w:rFonts w:hint="eastAsia" w:ascii="宋体" w:hAnsi="宋体" w:cs="宋体"/>
                <w:bCs/>
                <w:color w:val="000000"/>
                <w:kern w:val="0"/>
                <w:sz w:val="24"/>
              </w:rPr>
              <w:t>幢</w:t>
            </w:r>
            <w:r>
              <w:rPr>
                <w:rFonts w:ascii="宋体" w:hAnsi="宋体" w:cs="宋体"/>
                <w:bCs/>
                <w:color w:val="000000"/>
                <w:kern w:val="0"/>
                <w:sz w:val="24"/>
              </w:rPr>
              <w:t>号)</w:t>
            </w: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rPr>
              <w:t>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ascii="宋体" w:hAnsi="宋体" w:cs="宋体"/>
                <w:bCs/>
                <w:color w:val="000000"/>
                <w:kern w:val="0"/>
                <w:sz w:val="24"/>
              </w:rPr>
              <w:t>住宅面积(㎡)</w:t>
            </w:r>
          </w:p>
        </w:tc>
        <w:tc>
          <w:tcPr>
            <w:tcW w:w="11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rPr>
              <w:t>住宅均价</w:t>
            </w:r>
            <w:r>
              <w:rPr>
                <w:rFonts w:ascii="宋体" w:hAnsi="宋体" w:cs="宋体"/>
                <w:bCs/>
                <w:color w:val="000000"/>
                <w:kern w:val="0"/>
                <w:sz w:val="24"/>
              </w:rPr>
              <w:br w:type="textWrapping"/>
            </w:r>
            <w:r>
              <w:rPr>
                <w:rFonts w:hint="eastAsia" w:ascii="宋体" w:hAnsi="宋体" w:cs="宋体"/>
                <w:bCs/>
                <w:color w:val="000000"/>
                <w:kern w:val="0"/>
                <w:sz w:val="24"/>
              </w:rPr>
              <w:t>（元/</w:t>
            </w:r>
            <w:r>
              <w:rPr>
                <w:rFonts w:ascii="宋体" w:hAnsi="宋体" w:cs="宋体"/>
                <w:bCs/>
                <w:color w:val="000000"/>
                <w:kern w:val="0"/>
                <w:sz w:val="24"/>
              </w:rPr>
              <w:t>㎡</w:t>
            </w:r>
            <w:r>
              <w:rPr>
                <w:rFonts w:hint="eastAsia" w:ascii="宋体" w:hAnsi="宋体" w:cs="宋体"/>
                <w:bCs/>
                <w:color w:val="000000"/>
                <w:kern w:val="0"/>
                <w:sz w:val="24"/>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rPr>
              <w:t>非住宅套数</w:t>
            </w:r>
            <w:r>
              <w:rPr>
                <w:rFonts w:ascii="宋体" w:hAnsi="宋体" w:cs="宋体"/>
                <w:bCs/>
                <w:color w:val="000000"/>
                <w:kern w:val="0"/>
                <w:sz w:val="24"/>
              </w:rPr>
              <w:br w:type="textWrapping"/>
            </w:r>
            <w:r>
              <w:rPr>
                <w:rFonts w:hint="eastAsia" w:ascii="宋体" w:hAnsi="宋体" w:cs="宋体"/>
                <w:bCs/>
                <w:color w:val="000000"/>
                <w:kern w:val="0"/>
                <w:sz w:val="24"/>
              </w:rPr>
              <w:t>(套)</w:t>
            </w:r>
          </w:p>
        </w:tc>
        <w:tc>
          <w:tcPr>
            <w:tcW w:w="12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color w:val="000000"/>
                <w:kern w:val="0"/>
                <w:szCs w:val="21"/>
              </w:rPr>
              <w:t>非住宅面积</w:t>
            </w:r>
            <w:r>
              <w:rPr>
                <w:rFonts w:ascii="宋体" w:hAnsi="宋体" w:cs="宋体"/>
                <w:color w:val="000000"/>
                <w:kern w:val="0"/>
                <w:szCs w:val="21"/>
              </w:rPr>
              <w:br w:type="textWrapping"/>
            </w:r>
            <w:r>
              <w:rPr>
                <w:rFonts w:hint="eastAsia" w:ascii="宋体" w:hAnsi="宋体" w:cs="宋体"/>
                <w:color w:val="000000"/>
                <w:kern w:val="0"/>
                <w:szCs w:val="21"/>
              </w:rPr>
              <w:t>（</w:t>
            </w:r>
            <w:r>
              <w:rPr>
                <w:rFonts w:ascii="宋体" w:hAnsi="宋体" w:cs="宋体"/>
                <w:bCs/>
                <w:color w:val="000000"/>
                <w:kern w:val="0"/>
                <w:sz w:val="24"/>
              </w:rPr>
              <w:t>㎡</w:t>
            </w:r>
            <w:r>
              <w:rPr>
                <w:rFonts w:hint="eastAsia" w:ascii="宋体" w:hAnsi="宋体" w:cs="宋体"/>
                <w:color w:val="000000"/>
                <w:kern w:val="0"/>
                <w:szCs w:val="21"/>
              </w:rPr>
              <w:t>）</w:t>
            </w:r>
          </w:p>
        </w:tc>
        <w:tc>
          <w:tcPr>
            <w:tcW w:w="14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lang w:eastAsia="zh-CN"/>
              </w:rPr>
              <w:t>非</w:t>
            </w:r>
            <w:r>
              <w:rPr>
                <w:rFonts w:hint="eastAsia" w:ascii="宋体" w:hAnsi="宋体" w:cs="宋体"/>
                <w:bCs/>
                <w:color w:val="000000"/>
                <w:kern w:val="0"/>
                <w:sz w:val="24"/>
              </w:rPr>
              <w:t>住宅均价</w:t>
            </w:r>
            <w:r>
              <w:rPr>
                <w:rFonts w:ascii="宋体" w:hAnsi="宋体" w:cs="宋体"/>
                <w:bCs/>
                <w:color w:val="000000"/>
                <w:kern w:val="0"/>
                <w:sz w:val="24"/>
              </w:rPr>
              <w:br w:type="textWrapping"/>
            </w:r>
            <w:r>
              <w:rPr>
                <w:rFonts w:hint="eastAsia" w:ascii="宋体" w:hAnsi="宋体" w:cs="宋体"/>
                <w:bCs/>
                <w:color w:val="000000"/>
                <w:kern w:val="0"/>
                <w:sz w:val="24"/>
              </w:rPr>
              <w:t>（元/</w:t>
            </w:r>
            <w:r>
              <w:rPr>
                <w:rFonts w:ascii="宋体" w:hAnsi="宋体" w:cs="宋体"/>
                <w:bCs/>
                <w:color w:val="000000"/>
                <w:kern w:val="0"/>
                <w:sz w:val="24"/>
              </w:rPr>
              <w:t>㎡</w:t>
            </w:r>
            <w:r>
              <w:rPr>
                <w:rFonts w:hint="eastAsia" w:ascii="宋体" w:hAnsi="宋体" w:cs="宋体"/>
                <w:bCs/>
                <w:color w:val="000000"/>
                <w:kern w:val="0"/>
                <w:sz w:val="24"/>
              </w:rPr>
              <w:t>）</w:t>
            </w:r>
          </w:p>
        </w:tc>
        <w:tc>
          <w:tcPr>
            <w:tcW w:w="9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cs="宋体"/>
                <w:bCs/>
                <w:color w:val="000000"/>
                <w:kern w:val="0"/>
                <w:sz w:val="24"/>
              </w:rPr>
            </w:pPr>
            <w:r>
              <w:rPr>
                <w:rFonts w:hint="eastAsia" w:ascii="宋体" w:hAnsi="宋体" w:cs="宋体"/>
                <w:bCs/>
                <w:color w:val="000000"/>
                <w:kern w:val="0"/>
                <w:sz w:val="24"/>
              </w:rPr>
              <w:t>备注</w:t>
            </w:r>
          </w:p>
        </w:tc>
      </w:tr>
      <w:tr>
        <w:tblPrEx>
          <w:tblLayout w:type="fixed"/>
          <w:tblCellMar>
            <w:top w:w="15" w:type="dxa"/>
            <w:left w:w="15" w:type="dxa"/>
            <w:bottom w:w="15" w:type="dxa"/>
            <w:right w:w="15" w:type="dxa"/>
          </w:tblCellMar>
        </w:tblPrEx>
        <w:trPr>
          <w:trHeight w:val="473" w:hRule="atLeast"/>
          <w:tblHeader/>
        </w:trPr>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ascii="宋体" w:hAnsi="宋体" w:cs="宋体"/>
                <w:bCs/>
                <w:color w:val="000000"/>
                <w:kern w:val="0"/>
                <w:sz w:val="24"/>
              </w:rPr>
              <w:t>1</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2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4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r>
      <w:tr>
        <w:tblPrEx>
          <w:tblLayout w:type="fixed"/>
          <w:tblCellMar>
            <w:top w:w="15" w:type="dxa"/>
            <w:left w:w="15" w:type="dxa"/>
            <w:bottom w:w="15" w:type="dxa"/>
            <w:right w:w="15" w:type="dxa"/>
          </w:tblCellMar>
        </w:tblPrEx>
        <w:trPr>
          <w:trHeight w:val="473" w:hRule="atLeast"/>
          <w:tblHeader/>
        </w:trPr>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ascii="宋体" w:hAnsi="宋体" w:cs="宋体"/>
                <w:bCs/>
                <w:color w:val="000000"/>
                <w:kern w:val="0"/>
                <w:sz w:val="24"/>
              </w:rPr>
              <w:t>2</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2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4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r>
      <w:tr>
        <w:tblPrEx>
          <w:tblLayout w:type="fixed"/>
          <w:tblCellMar>
            <w:top w:w="15" w:type="dxa"/>
            <w:left w:w="15" w:type="dxa"/>
            <w:bottom w:w="15" w:type="dxa"/>
            <w:right w:w="15" w:type="dxa"/>
          </w:tblCellMar>
        </w:tblPrEx>
        <w:trPr>
          <w:trHeight w:val="473" w:hRule="atLeast"/>
          <w:tblHeader/>
        </w:trPr>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bCs/>
                <w:color w:val="000000"/>
                <w:kern w:val="0"/>
                <w:sz w:val="24"/>
              </w:rPr>
              <w:t>3</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2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4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r>
      <w:tr>
        <w:tblPrEx>
          <w:tblLayout w:type="fixed"/>
          <w:tblCellMar>
            <w:top w:w="15" w:type="dxa"/>
            <w:left w:w="15" w:type="dxa"/>
            <w:bottom w:w="15" w:type="dxa"/>
            <w:right w:w="15" w:type="dxa"/>
          </w:tblCellMar>
        </w:tblPrEx>
        <w:trPr>
          <w:trHeight w:val="496" w:hRule="atLeast"/>
          <w:tblHeader/>
        </w:trPr>
        <w:tc>
          <w:tcPr>
            <w:tcW w:w="5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r>
              <w:rPr>
                <w:rFonts w:hint="eastAsia" w:ascii="宋体" w:hAnsi="宋体" w:cs="宋体"/>
                <w:color w:val="000000"/>
                <w:kern w:val="0"/>
                <w:szCs w:val="21"/>
              </w:rPr>
              <w:t>…</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7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18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21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14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c>
          <w:tcPr>
            <w:tcW w:w="9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ascii="宋体" w:hAnsi="宋体" w:cs="宋体"/>
                <w:bCs/>
                <w:color w:val="000000"/>
                <w:kern w:val="0"/>
                <w:sz w:val="24"/>
              </w:rPr>
            </w:pPr>
          </w:p>
        </w:tc>
      </w:tr>
    </w:tbl>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bCs/>
          <w:kern w:val="0"/>
          <w:sz w:val="32"/>
          <w:szCs w:val="32"/>
          <w:u w:val="single"/>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val="0"/>
          <w:bCs/>
          <w:kern w:val="0"/>
          <w:sz w:val="32"/>
          <w:szCs w:val="32"/>
        </w:rPr>
        <w:t>以上商品房实行“一房一价”明码标价方式，</w:t>
      </w:r>
      <w:r>
        <w:rPr>
          <w:rFonts w:hint="eastAsia" w:ascii="仿宋_GB2312" w:hAnsi="仿宋_GB2312" w:eastAsia="仿宋_GB2312" w:cs="仿宋_GB2312"/>
          <w:kern w:val="0"/>
          <w:sz w:val="32"/>
          <w:szCs w:val="32"/>
        </w:rPr>
        <w:t>每套房屋单元号、用途、建筑面积、套内面积、毛坯单价、毛坯总价、装修单价、装修总价见附件</w:t>
      </w:r>
      <w:r>
        <w:rPr>
          <w:rFonts w:hint="eastAsia" w:ascii="仿宋_GB2312" w:hAnsi="仿宋_GB2312" w:eastAsia="仿宋_GB2312" w:cs="仿宋_GB2312"/>
          <w:bCs/>
          <w:kern w:val="0"/>
          <w:sz w:val="32"/>
          <w:szCs w:val="32"/>
          <w:u w:val="single"/>
        </w:rPr>
        <w:t>可售房源信息表 。</w:t>
      </w:r>
    </w:p>
    <w:p>
      <w:pPr>
        <w:widowControl/>
        <w:spacing w:line="520" w:lineRule="exact"/>
        <w:jc w:val="left"/>
        <w:rPr>
          <w:rFonts w:ascii="ˎ̥" w:hAnsi="ˎ̥" w:cs="宋体"/>
          <w:b/>
          <w:kern w:val="0"/>
          <w:sz w:val="28"/>
          <w:szCs w:val="28"/>
        </w:rPr>
      </w:pPr>
    </w:p>
    <w:p>
      <w:pPr>
        <w:widowControl/>
        <w:spacing w:line="520" w:lineRule="exact"/>
        <w:ind w:firstLine="1400" w:firstLineChars="500"/>
        <w:jc w:val="left"/>
        <w:rPr>
          <w:rFonts w:hint="eastAsia" w:ascii="黑体" w:hAnsi="黑体" w:eastAsia="黑体" w:cs="黑体"/>
          <w:b w:val="0"/>
          <w:bCs/>
          <w:kern w:val="0"/>
          <w:sz w:val="28"/>
          <w:szCs w:val="28"/>
          <w:u w:val="none"/>
          <w:lang w:val="en-US" w:eastAsia="zh-CN"/>
        </w:rPr>
      </w:pP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项目</w:t>
      </w:r>
      <w:r>
        <w:rPr>
          <w:rFonts w:hint="eastAsia" w:ascii="黑体" w:hAnsi="黑体" w:eastAsia="黑体" w:cs="黑体"/>
          <w:b w:val="0"/>
          <w:bCs/>
          <w:kern w:val="0"/>
          <w:sz w:val="28"/>
          <w:szCs w:val="28"/>
          <w:u w:val="single"/>
          <w:lang w:val="en-US" w:eastAsia="zh-CN"/>
        </w:rPr>
        <w:t xml:space="preserve">       </w:t>
      </w:r>
      <w:r>
        <w:rPr>
          <w:rFonts w:hint="eastAsia" w:ascii="黑体" w:hAnsi="黑体" w:eastAsia="黑体" w:cs="黑体"/>
          <w:b w:val="0"/>
          <w:bCs/>
          <w:kern w:val="0"/>
          <w:sz w:val="28"/>
          <w:szCs w:val="28"/>
          <w:u w:val="none"/>
          <w:lang w:val="en-US" w:eastAsia="zh-CN"/>
        </w:rPr>
        <w:t>号楼可售住房信息表</w:t>
      </w:r>
    </w:p>
    <w:p>
      <w:pPr>
        <w:widowControl/>
        <w:spacing w:line="520" w:lineRule="exact"/>
        <w:jc w:val="left"/>
        <w:rPr>
          <w:rFonts w:hint="eastAsia" w:ascii="ˎ̥" w:hAnsi="ˎ̥" w:cs="宋体"/>
          <w:b w:val="0"/>
          <w:bCs/>
          <w:kern w:val="0"/>
          <w:sz w:val="28"/>
          <w:szCs w:val="28"/>
          <w:u w:val="none"/>
          <w:lang w:val="en-US" w:eastAsia="zh-CN"/>
        </w:rPr>
      </w:pPr>
    </w:p>
    <w:tbl>
      <w:tblPr>
        <w:tblStyle w:val="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969"/>
        <w:gridCol w:w="969"/>
        <w:gridCol w:w="969"/>
        <w:gridCol w:w="969"/>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68"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编号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房屋 座落</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建筑 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套内建筑面积</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销售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单价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装修 总价</w:t>
            </w:r>
          </w:p>
        </w:tc>
        <w:tc>
          <w:tcPr>
            <w:tcW w:w="969" w:type="dxa"/>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ˎ̥" w:hAnsi="ˎ̥" w:cs="宋体"/>
                <w:b w:val="0"/>
                <w:bCs/>
                <w:kern w:val="0"/>
                <w:sz w:val="24"/>
                <w:szCs w:val="24"/>
                <w:u w:val="none"/>
                <w:vertAlign w:val="baseline"/>
                <w:lang w:val="en-US" w:eastAsia="zh-CN"/>
              </w:rPr>
            </w:pPr>
            <w:r>
              <w:rPr>
                <w:rFonts w:hint="eastAsia" w:ascii="ˎ̥" w:hAnsi="ˎ̥" w:cs="宋体"/>
                <w:b w:val="0"/>
                <w:bCs/>
                <w:kern w:val="0"/>
                <w:sz w:val="24"/>
                <w:szCs w:val="24"/>
                <w:u w:val="none"/>
                <w:vertAlign w:val="baseline"/>
                <w:lang w:val="en-US" w:eastAsia="zh-CN"/>
              </w:rPr>
              <w:t>规划 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8"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c>
          <w:tcPr>
            <w:tcW w:w="969" w:type="dxa"/>
          </w:tcPr>
          <w:p>
            <w:pPr>
              <w:widowControl/>
              <w:spacing w:line="520" w:lineRule="exact"/>
              <w:jc w:val="left"/>
              <w:rPr>
                <w:rFonts w:hint="default" w:ascii="ˎ̥" w:hAnsi="ˎ̥" w:cs="宋体"/>
                <w:b w:val="0"/>
                <w:bCs/>
                <w:kern w:val="0"/>
                <w:sz w:val="24"/>
                <w:szCs w:val="24"/>
                <w:u w:val="none"/>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157" w:beforeLines="50" w:line="580" w:lineRule="exact"/>
        <w:ind w:firstLine="643"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kern w:val="0"/>
          <w:sz w:val="32"/>
          <w:szCs w:val="32"/>
        </w:rPr>
        <w:t>商品房实际销售价格不得高于备案价格，确实需要调整价格的，必须重新向住房和城乡建设部门提交变更的商品房预</w:t>
      </w:r>
      <w:r>
        <w:rPr>
          <w:rFonts w:hint="eastAsia" w:ascii="仿宋_GB2312" w:hAnsi="仿宋_GB2312" w:eastAsia="仿宋_GB2312" w:cs="仿宋_GB2312"/>
          <w:kern w:val="0"/>
          <w:sz w:val="32"/>
          <w:szCs w:val="32"/>
          <w:lang w:eastAsia="zh-CN"/>
        </w:rPr>
        <w:t>（销）</w:t>
      </w:r>
      <w:r>
        <w:rPr>
          <w:rFonts w:hint="eastAsia" w:ascii="仿宋_GB2312" w:hAnsi="仿宋_GB2312" w:eastAsia="仿宋_GB2312" w:cs="仿宋_GB2312"/>
          <w:kern w:val="0"/>
          <w:sz w:val="32"/>
          <w:szCs w:val="32"/>
        </w:rPr>
        <w:t>售方案并进行审核，且间隔时间应在</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个月以上。预</w:t>
      </w:r>
      <w:r>
        <w:rPr>
          <w:rFonts w:hint="eastAsia" w:ascii="仿宋_GB2312" w:hAnsi="仿宋_GB2312" w:eastAsia="仿宋_GB2312" w:cs="仿宋_GB2312"/>
          <w:kern w:val="0"/>
          <w:sz w:val="32"/>
          <w:szCs w:val="32"/>
          <w:lang w:eastAsia="zh-CN"/>
        </w:rPr>
        <w:t>（销）</w:t>
      </w:r>
      <w:r>
        <w:rPr>
          <w:rFonts w:hint="eastAsia" w:ascii="仿宋_GB2312" w:hAnsi="仿宋_GB2312" w:eastAsia="仿宋_GB2312" w:cs="仿宋_GB2312"/>
          <w:kern w:val="0"/>
          <w:sz w:val="32"/>
          <w:szCs w:val="32"/>
        </w:rPr>
        <w:t>售方案申报价格调整未予备案前，准售房源仍按原申报价格销售，房地产开发企业不得停止销售。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（四）不予销售的房屋情况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物业管理用房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rPr>
        <w:t>该项目规划核定的物业管理用房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平方米，位</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，本次申报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(有/无)物业管理用房。本期物业管理用房位于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社区服务用房和养老用房情况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该项目规划核定的社区工作服务用房</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平方米，其中社区工作用房</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，社区养老服务用房</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rPr>
        <w:t>本次申报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(有/无)社区工作服务用房，其中社区工作用房</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，社区养老服务用房</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。本公司已于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rPr>
        <w:t>街办或镇政府</w:t>
      </w:r>
      <w:r>
        <w:rPr>
          <w:rFonts w:hint="eastAsia" w:ascii="仿宋_GB2312" w:hAnsi="仿宋_GB2312" w:eastAsia="仿宋_GB2312" w:cs="仿宋_GB2312"/>
          <w:kern w:val="0"/>
          <w:sz w:val="32"/>
          <w:szCs w:val="32"/>
          <w:u w:val="single"/>
        </w:rPr>
        <w:t>）</w:t>
      </w:r>
      <w:r>
        <w:rPr>
          <w:rFonts w:hint="eastAsia" w:ascii="仿宋_GB2312" w:hAnsi="仿宋_GB2312" w:eastAsia="仿宋_GB2312" w:cs="仿宋_GB2312"/>
          <w:kern w:val="0"/>
          <w:sz w:val="32"/>
          <w:szCs w:val="32"/>
        </w:rPr>
        <w:t>签订了社区工作服务用房移交协议</w:t>
      </w:r>
      <w:r>
        <w:rPr>
          <w:rFonts w:hint="eastAsia" w:ascii="仿宋_GB2312" w:hAnsi="仿宋_GB2312" w:eastAsia="仿宋_GB2312" w:cs="仿宋_GB2312"/>
          <w:kern w:val="0"/>
          <w:sz w:val="32"/>
          <w:szCs w:val="32"/>
          <w:u w:val="none"/>
        </w:rPr>
        <w:t>或</w:t>
      </w:r>
      <w:r>
        <w:rPr>
          <w:rFonts w:hint="eastAsia"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日，向</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街办或镇政府出具了移交承诺书）。（附移交协议或承诺书盖章复印件）</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拆迁安置用房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distribute"/>
        <w:textAlignment w:val="auto"/>
        <w:outlineLvl w:val="9"/>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rPr>
        <w:t>该项目规划核定的拆迁安置用房总建筑面积</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平方米，总套数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b/>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，本次申报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(有/无) 拆迁安置用房，总套数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拆迁安置用房位于</w:t>
      </w:r>
      <w:r>
        <w:rPr>
          <w:rFonts w:hint="eastAsia" w:ascii="仿宋_GB2312" w:hAnsi="仿宋_GB2312" w:eastAsia="仿宋_GB2312" w:cs="仿宋_GB2312"/>
          <w:kern w:val="0"/>
          <w:sz w:val="32"/>
          <w:szCs w:val="32"/>
          <w:u w:val="none"/>
        </w:rPr>
        <w:t>：</w:t>
      </w:r>
    </w:p>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rPr>
        <w:t>附街办或镇政府出具的拆迁安置情况材料）</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公租房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本次申报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(有/无) 公租房，总套数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
          <w:kern w:val="0"/>
          <w:sz w:val="32"/>
          <w:szCs w:val="32"/>
          <w:u w:val="single"/>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公租房位于：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rPr>
        <w:t>（住房保障部门出具的材料）</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企业自留房屋情况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distribute"/>
        <w:textAlignment w:val="auto"/>
        <w:outlineLvl w:val="9"/>
        <w:rPr>
          <w:rFonts w:hint="eastAsia"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b w:val="0"/>
          <w:bCs/>
          <w:kern w:val="0"/>
          <w:sz w:val="32"/>
          <w:szCs w:val="32"/>
        </w:rPr>
        <w:t>本次申报</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(有/无)企业自留房屋，企业自留房屋位于：</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i/>
          <w:iCs/>
          <w:kern w:val="0"/>
          <w:sz w:val="32"/>
          <w:szCs w:val="32"/>
          <w:u w:val="single"/>
          <w:lang w:val="en-US" w:eastAsia="zh-CN"/>
        </w:rPr>
      </w:pPr>
      <w:r>
        <w:rPr>
          <w:rFonts w:hint="eastAsia" w:ascii="仿宋_GB2312" w:hAnsi="仿宋_GB2312" w:eastAsia="仿宋_GB2312" w:cs="仿宋_GB2312"/>
          <w:i/>
          <w:iCs/>
          <w:kern w:val="0"/>
          <w:sz w:val="32"/>
          <w:szCs w:val="32"/>
          <w:u w:val="single"/>
          <w:lang w:val="en-US" w:eastAsia="zh-CN"/>
        </w:rPr>
        <w:t xml:space="preserve">                                         </w:t>
      </w:r>
      <w:r>
        <w:rPr>
          <w:rFonts w:hint="eastAsia" w:ascii="仿宋_GB2312" w:hAnsi="仿宋_GB2312" w:eastAsia="仿宋_GB2312" w:cs="仿宋_GB2312"/>
          <w:i/>
          <w:iCs/>
          <w:kern w:val="0"/>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6.</w:t>
      </w:r>
      <w:r>
        <w:rPr>
          <w:rFonts w:hint="eastAsia" w:ascii="仿宋_GB2312" w:hAnsi="仿宋_GB2312" w:eastAsia="仿宋_GB2312" w:cs="仿宋_GB2312"/>
          <w:b/>
          <w:kern w:val="0"/>
          <w:sz w:val="32"/>
          <w:szCs w:val="32"/>
        </w:rPr>
        <w:t>其它不可售房屋情况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（五）权利限制情况：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sz w:val="32"/>
          <w:szCs w:val="32"/>
        </w:rPr>
        <w:t>本</w:t>
      </w:r>
      <w:r>
        <w:rPr>
          <w:rFonts w:hint="eastAsia" w:ascii="仿宋_GB2312" w:hAnsi="仿宋_GB2312" w:eastAsia="仿宋_GB2312" w:cs="仿宋_GB2312"/>
          <w:b/>
          <w:kern w:val="0"/>
          <w:sz w:val="32"/>
          <w:szCs w:val="32"/>
        </w:rPr>
        <w:t>次</w:t>
      </w:r>
      <w:r>
        <w:rPr>
          <w:rFonts w:hint="eastAsia" w:ascii="仿宋_GB2312" w:hAnsi="仿宋_GB2312" w:eastAsia="仿宋_GB2312" w:cs="仿宋_GB2312"/>
          <w:b/>
          <w:sz w:val="32"/>
          <w:szCs w:val="32"/>
        </w:rPr>
        <w:t>申请销售的商品房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rPr>
        <w:t>(有/无)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(土地使用权/在建工程)抵押，抵押权人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,贷款金额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，抵押期限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。抵押面积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平方米，</w:t>
      </w:r>
      <w:r>
        <w:rPr>
          <w:rFonts w:hint="eastAsia" w:ascii="仿宋_GB2312" w:hAnsi="仿宋_GB2312" w:eastAsia="仿宋_GB2312" w:cs="仿宋_GB2312"/>
          <w:sz w:val="32"/>
          <w:szCs w:val="32"/>
        </w:rPr>
        <w:t>抵押房屋套数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，抵押房屋位于：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。抵押权人出具同意本期申请房屋可公开销售的函（抵押合同和抵押权人函</w:t>
      </w:r>
      <w:r>
        <w:rPr>
          <w:rFonts w:hint="eastAsia" w:ascii="仿宋_GB2312" w:hAnsi="仿宋_GB2312" w:eastAsia="仿宋_GB2312" w:cs="仿宋_GB2312"/>
          <w:sz w:val="32"/>
          <w:szCs w:val="32"/>
          <w:lang w:eastAsia="zh-CN"/>
        </w:rPr>
        <w:t>详</w:t>
      </w:r>
      <w:r>
        <w:rPr>
          <w:rFonts w:hint="eastAsia" w:ascii="仿宋_GB2312" w:hAnsi="仿宋_GB2312" w:eastAsia="仿宋_GB2312" w:cs="仿宋_GB2312"/>
          <w:sz w:val="32"/>
          <w:szCs w:val="32"/>
        </w:rPr>
        <w:t>见附件）。</w:t>
      </w:r>
    </w:p>
    <w:p>
      <w:pPr>
        <w:keepNext w:val="0"/>
        <w:keepLines w:val="0"/>
        <w:pageBreakBefore w:val="0"/>
        <w:widowControl/>
        <w:kinsoku/>
        <w:wordWrap/>
        <w:overflowPunct/>
        <w:topLinePunct w:val="0"/>
        <w:autoSpaceDE/>
        <w:autoSpaceDN/>
        <w:bidi w:val="0"/>
        <w:adjustRightInd/>
        <w:snapToGrid/>
        <w:spacing w:line="580" w:lineRule="exact"/>
        <w:ind w:firstLine="555"/>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sz w:val="32"/>
          <w:szCs w:val="32"/>
        </w:rPr>
        <w:t>本</w:t>
      </w:r>
      <w:r>
        <w:rPr>
          <w:rFonts w:hint="eastAsia" w:ascii="仿宋_GB2312" w:hAnsi="仿宋_GB2312" w:eastAsia="仿宋_GB2312" w:cs="仿宋_GB2312"/>
          <w:b/>
          <w:kern w:val="0"/>
          <w:sz w:val="32"/>
          <w:szCs w:val="32"/>
        </w:rPr>
        <w:t>次</w:t>
      </w:r>
      <w:r>
        <w:rPr>
          <w:rFonts w:hint="eastAsia" w:ascii="仿宋_GB2312" w:hAnsi="仿宋_GB2312" w:eastAsia="仿宋_GB2312" w:cs="仿宋_GB2312"/>
          <w:b/>
          <w:sz w:val="32"/>
          <w:szCs w:val="32"/>
        </w:rPr>
        <w:t>申请销售的商品房</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kern w:val="0"/>
          <w:sz w:val="32"/>
          <w:szCs w:val="32"/>
        </w:rPr>
        <w:t>(有/无)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(土地使用权/在建工程)查封冻结，查封机关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，查封期限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sz w:val="32"/>
          <w:szCs w:val="32"/>
        </w:rPr>
        <w:t>其它限制性情况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（六）车位（库）相关情况：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按规划配建机动车停车位(库)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个。其中，室内机动车停车位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个，位于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方式处置；地面停车位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个，位于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方式处置；机械立体式机动车停车位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个，位于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方式处置。明确了销售价格、租赁价格等内容车库（位）等附属设施租售方案详见附件。（停车位处置方式一般有销售、租赁或小区业主共同使用等，住宅用途项目应优先采取向小区业主销售的方式处置）。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房屋装修程度和装修标准：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本次销售房屋为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（毛坯/精装修），精装修的装修程度和</w:t>
      </w:r>
      <w:r>
        <w:rPr>
          <w:rFonts w:hint="eastAsia" w:ascii="仿宋_GB2312" w:hAnsi="仿宋_GB2312" w:eastAsia="仿宋_GB2312" w:cs="仿宋_GB2312"/>
          <w:b/>
          <w:kern w:val="0"/>
          <w:sz w:val="32"/>
          <w:szCs w:val="32"/>
        </w:rPr>
        <w:t>装修标准</w:t>
      </w:r>
      <w:r>
        <w:rPr>
          <w:rFonts w:hint="eastAsia" w:ascii="仿宋_GB2312" w:hAnsi="仿宋_GB2312" w:eastAsia="仿宋_GB2312" w:cs="仿宋_GB2312"/>
          <w:kern w:val="0"/>
          <w:sz w:val="32"/>
          <w:szCs w:val="32"/>
        </w:rPr>
        <w:t>详见装修合同。毛坯房装修</w:t>
      </w:r>
      <w:r>
        <w:rPr>
          <w:rFonts w:hint="eastAsia" w:ascii="仿宋_GB2312" w:hAnsi="仿宋_GB2312" w:eastAsia="仿宋_GB2312" w:cs="仿宋_GB2312"/>
          <w:color w:val="000000" w:themeColor="text1"/>
          <w:kern w:val="0"/>
          <w:sz w:val="32"/>
          <w:szCs w:val="32"/>
          <w14:textFill>
            <w14:solidFill>
              <w14:schemeClr w14:val="tx1"/>
            </w14:solidFill>
          </w14:textFill>
        </w:rPr>
        <w:t>设</w:t>
      </w:r>
      <w:r>
        <w:rPr>
          <w:rFonts w:hint="eastAsia" w:ascii="仿宋_GB2312" w:hAnsi="仿宋_GB2312" w:eastAsia="仿宋_GB2312" w:cs="仿宋_GB2312"/>
          <w:kern w:val="0"/>
          <w:sz w:val="32"/>
          <w:szCs w:val="32"/>
        </w:rPr>
        <w:t>备标准：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入户门：防盗入户门；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室内房门：预留门洞，房门业主自理；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外墙窗口：</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阳台：</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外墙：</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内墙：</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地面：</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顶棚：</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厨房：</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卫生间：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电梯：</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供水：</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kern w:val="0"/>
          <w:sz w:val="32"/>
          <w:szCs w:val="32"/>
        </w:rPr>
        <w:t>供电：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弱电：</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燃气：</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16.</w:t>
      </w:r>
      <w:r>
        <w:rPr>
          <w:rFonts w:hint="eastAsia" w:ascii="仿宋_GB2312" w:hAnsi="仿宋_GB2312" w:eastAsia="仿宋_GB2312" w:cs="仿宋_GB2312"/>
          <w:kern w:val="0"/>
          <w:sz w:val="32"/>
          <w:szCs w:val="32"/>
        </w:rPr>
        <w:t>其它：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（八）商品房交付情况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Style w:val="7"/>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1.</w:t>
      </w:r>
      <w:r>
        <w:rPr>
          <w:rStyle w:val="7"/>
          <w:rFonts w:hint="eastAsia" w:ascii="仿宋_GB2312" w:hAnsi="仿宋_GB2312" w:eastAsia="仿宋_GB2312" w:cs="仿宋_GB2312"/>
          <w:b/>
          <w:bCs/>
          <w:sz w:val="32"/>
          <w:szCs w:val="32"/>
        </w:rPr>
        <w:t>向买受</w:t>
      </w:r>
      <w:r>
        <w:rPr>
          <w:rStyle w:val="7"/>
          <w:rFonts w:hint="eastAsia" w:ascii="仿宋_GB2312" w:hAnsi="仿宋_GB2312" w:eastAsia="仿宋_GB2312" w:cs="仿宋_GB2312"/>
          <w:sz w:val="32"/>
          <w:szCs w:val="32"/>
        </w:rPr>
        <w:t>人交付新建商品房应当符合下列条件：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房地产开发项目竣工并取得房屋建筑工程竣工验收备案证明文件。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已取得房屋测绘报告；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购房人按规定交存了住宅专项维修资金；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供水、供电、供暖、燃气、通信、宽带网络和有线电视等基础设施设备均达到正常使用条件；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制定了包含查验整改、应急预案、管理流程、投诉受理等内容的交付工作方案</w:t>
      </w:r>
      <w:r>
        <w:rPr>
          <w:rFonts w:hint="eastAsia" w:ascii="仿宋_GB2312" w:hAnsi="仿宋_GB2312" w:eastAsia="仿宋_GB2312" w:cs="仿宋_GB2312"/>
          <w:sz w:val="32"/>
          <w:szCs w:val="32"/>
          <w:lang w:eastAsia="zh-CN"/>
        </w:rPr>
        <w:t>，向业主提供“两书”：《房屋质量保证书》、《房屋使用说明书》</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建设单位与选聘的物业服务企业完成了物业共用部位、共用设施设备的承接查验工作；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按规定办理了不动产首次登记；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商品房交付过程中存在以下情形的，买受人有权暂缓或拒收房屋，并可选择解除商品房买卖合同：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交付房屋套型与设计图纸不一致或者房屋实测面积超出商品房买卖合同约定的误差范围的；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擅自变更规划、设计的；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经批准的规划变更、重大设计变更未在法定时限内书面通知买受人的；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依照有关规定委托工程质量检测机构重新核验主体结构质量不合格的；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法律法规规定的其他情况。</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商品</w:t>
      </w:r>
      <w:r>
        <w:rPr>
          <w:rFonts w:hint="eastAsia" w:ascii="仿宋_GB2312" w:hAnsi="仿宋_GB2312" w:eastAsia="仿宋_GB2312" w:cs="仿宋_GB2312"/>
          <w:b/>
          <w:bCs/>
          <w:sz w:val="32"/>
          <w:szCs w:val="32"/>
        </w:rPr>
        <w:t>房因</w:t>
      </w:r>
      <w:r>
        <w:rPr>
          <w:rFonts w:hint="eastAsia" w:ascii="仿宋_GB2312" w:hAnsi="仿宋_GB2312" w:eastAsia="仿宋_GB2312" w:cs="仿宋_GB2312"/>
          <w:b/>
          <w:sz w:val="32"/>
          <w:szCs w:val="32"/>
        </w:rPr>
        <w:t>各种事由延期交付的，建设单位应当及时依商品房买卖合同约定方式告知买受人真实情况和正在采取的措施，并保持与买受人的信息沟通。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lang w:eastAsia="zh-CN"/>
        </w:rPr>
        <w:t>商品房预（销）售方式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本次申报预</w:t>
      </w:r>
      <w:r>
        <w:rPr>
          <w:rFonts w:hint="eastAsia" w:ascii="仿宋_GB2312" w:hAnsi="仿宋_GB2312" w:eastAsia="仿宋_GB2312" w:cs="仿宋_GB2312"/>
          <w:kern w:val="0"/>
          <w:sz w:val="32"/>
          <w:szCs w:val="32"/>
          <w:lang w:eastAsia="zh-CN"/>
        </w:rPr>
        <w:t>（销）</w:t>
      </w:r>
      <w:r>
        <w:rPr>
          <w:rFonts w:hint="eastAsia" w:ascii="仿宋_GB2312" w:hAnsi="仿宋_GB2312" w:eastAsia="仿宋_GB2312" w:cs="仿宋_GB2312"/>
          <w:kern w:val="0"/>
          <w:sz w:val="32"/>
          <w:szCs w:val="32"/>
        </w:rPr>
        <w:t>售的项目，在领取预售许可证</w:t>
      </w:r>
      <w:r>
        <w:rPr>
          <w:rFonts w:hint="eastAsia" w:ascii="仿宋_GB2312" w:hAnsi="仿宋_GB2312" w:eastAsia="仿宋_GB2312" w:cs="仿宋_GB2312"/>
          <w:kern w:val="0"/>
          <w:sz w:val="32"/>
          <w:szCs w:val="32"/>
          <w:lang w:eastAsia="zh-CN"/>
        </w:rPr>
        <w:t>或现售备案证明</w:t>
      </w:r>
      <w:r>
        <w:rPr>
          <w:rFonts w:hint="eastAsia" w:ascii="仿宋_GB2312" w:hAnsi="仿宋_GB2312" w:eastAsia="仿宋_GB2312" w:cs="仿宋_GB2312"/>
          <w:kern w:val="0"/>
          <w:sz w:val="32"/>
          <w:szCs w:val="32"/>
        </w:rPr>
        <w:t>后10日内一次性公开全部准售房源及每套房屋价格，并严格按照申报价格，明码标价对外销售。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该项目由我公司自行销售（或由房地产经纪机构</w:t>
      </w:r>
    </w:p>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代销，资质备案证书号</w:t>
      </w:r>
      <w:r>
        <w:rPr>
          <w:rFonts w:hint="eastAsia" w:ascii="仿宋_GB2312" w:hAnsi="仿宋_GB2312" w:eastAsia="仿宋_GB2312" w:cs="仿宋_GB2312"/>
          <w:color w:val="000000"/>
          <w:kern w:val="0"/>
          <w:sz w:val="32"/>
          <w:szCs w:val="32"/>
        </w:rPr>
        <w:t>（附盖章复印件）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，销售负表人：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本次申报预</w:t>
      </w:r>
      <w:r>
        <w:rPr>
          <w:rFonts w:hint="eastAsia" w:ascii="仿宋_GB2312" w:hAnsi="仿宋_GB2312" w:eastAsia="仿宋_GB2312" w:cs="仿宋_GB2312"/>
          <w:kern w:val="0"/>
          <w:sz w:val="32"/>
          <w:szCs w:val="32"/>
          <w:lang w:eastAsia="zh-CN"/>
        </w:rPr>
        <w:t>（销）</w:t>
      </w:r>
      <w:r>
        <w:rPr>
          <w:rFonts w:hint="eastAsia" w:ascii="仿宋_GB2312" w:hAnsi="仿宋_GB2312" w:eastAsia="仿宋_GB2312" w:cs="仿宋_GB2312"/>
          <w:kern w:val="0"/>
          <w:sz w:val="32"/>
          <w:szCs w:val="32"/>
        </w:rPr>
        <w:t>售的项目，将在销售现场按规定公示相关信息，预计开盘时间：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，地点在：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（十）预售资金监管方案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商品房预售款实行监管。我公司已与市住建局</w:t>
      </w:r>
      <w:r>
        <w:rPr>
          <w:rFonts w:hint="eastAsia" w:ascii="仿宋_GB2312" w:hAnsi="仿宋_GB2312" w:eastAsia="仿宋_GB2312" w:cs="仿宋_GB2312"/>
          <w:sz w:val="32"/>
          <w:szCs w:val="32"/>
          <w:lang w:eastAsia="zh-CN"/>
        </w:rPr>
        <w:t>商品房预售资金监管办公室</w:t>
      </w:r>
      <w:r>
        <w:rPr>
          <w:rFonts w:hint="eastAsia" w:ascii="仿宋_GB2312" w:hAnsi="仿宋_GB2312" w:eastAsia="仿宋_GB2312" w:cs="仿宋_GB2312"/>
          <w:sz w:val="32"/>
          <w:szCs w:val="32"/>
        </w:rPr>
        <w:t>、开户银行</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三方签订商品房预售款专用帐户监管协议书。监管帐号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，监管日期：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sz w:val="32"/>
          <w:szCs w:val="32"/>
        </w:rPr>
        <w:t>。预售款按规定将全部存入监管帐户，实行专款专用，保证本项目工程顺利建设。</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（十一）商品</w:t>
      </w:r>
      <w:r>
        <w:rPr>
          <w:rFonts w:hint="eastAsia" w:ascii="楷体_GB2312" w:hAnsi="楷体_GB2312" w:eastAsia="楷体_GB2312" w:cs="楷体_GB2312"/>
          <w:b/>
          <w:bCs/>
          <w:sz w:val="32"/>
          <w:szCs w:val="32"/>
          <w:lang w:eastAsia="zh-CN"/>
        </w:rPr>
        <w:t>房屋质量责任承担主体和承担方式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商品房地基基础和主体结构合格，符合国家和行业标准。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商品房质量符合国家颁布的工程质量规范、标准和施工图设计要求，使用合格的建筑材料、配件和设备，装置，装修，装饰所用材料必须符合国家强制标准和双方的约定标准。具体装修及设备标准见商品房预售合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室内空气质量、建筑隔声和民用建筑节能符合国家国家强制标准。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根据相关法律法规规定，我</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司是工程</w:t>
      </w:r>
      <w:r>
        <w:rPr>
          <w:rFonts w:hint="eastAsia" w:ascii="仿宋_GB2312" w:hAnsi="仿宋_GB2312" w:eastAsia="仿宋_GB2312" w:cs="仿宋_GB2312"/>
          <w:kern w:val="0"/>
          <w:sz w:val="32"/>
          <w:szCs w:val="32"/>
        </w:rPr>
        <w:t>质量的第一责任人，对建设工程的质量全面负责。《房屋质量保证书》是我</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司对所售商品住房承担质量责任的法律文件。我</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司承诺在法定保修期内，承但所售商品住房保修责任。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（十二）商品房销售矛盾纠纷和群体突发事件投诉渠道和处理预案</w:t>
      </w:r>
    </w:p>
    <w:p>
      <w:pPr>
        <w:keepNext w:val="0"/>
        <w:keepLines w:val="0"/>
        <w:pageBreakBefore w:val="0"/>
        <w:widowControl/>
        <w:kinsoku/>
        <w:wordWrap/>
        <w:overflowPunct/>
        <w:topLinePunct w:val="0"/>
        <w:autoSpaceDE/>
        <w:autoSpaceDN/>
        <w:bidi w:val="0"/>
        <w:adjustRightInd/>
        <w:snapToGrid/>
        <w:spacing w:line="580" w:lineRule="exact"/>
        <w:ind w:firstLine="555"/>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如购房人在购房过程中产生纠纷，投诉渠道为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，投诉处理程序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。如发生群体突发事件，由公司负责人：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（手机）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负责。</w:t>
      </w:r>
      <w:r>
        <w:rPr>
          <w:rFonts w:hint="eastAsia" w:ascii="仿宋_GB2312" w:hAnsi="仿宋_GB2312" w:eastAsia="仿宋_GB2312" w:cs="仿宋_GB2312"/>
          <w:b/>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（十三）关于商品房合同备案和不动产登记的约定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司与购房人就商品房买卖合同条款协商一致后，及时通过鄂州市住建局商品房网签备案系统办理购房人的商品房合同网签备案手续，购房人的</w:t>
      </w:r>
      <w:r>
        <w:rPr>
          <w:rFonts w:hint="eastAsia" w:ascii="仿宋_GB2312" w:hAnsi="仿宋_GB2312" w:eastAsia="仿宋_GB2312" w:cs="仿宋_GB2312"/>
          <w:b/>
          <w:kern w:val="0"/>
          <w:sz w:val="32"/>
          <w:szCs w:val="32"/>
        </w:rPr>
        <w:t>预售资金存入</w:t>
      </w:r>
      <w:r>
        <w:rPr>
          <w:rFonts w:hint="eastAsia" w:ascii="仿宋_GB2312" w:hAnsi="仿宋_GB2312" w:eastAsia="仿宋_GB2312" w:cs="仿宋_GB2312"/>
          <w:sz w:val="32"/>
          <w:szCs w:val="32"/>
        </w:rPr>
        <w:t>监管帐户，</w:t>
      </w:r>
      <w:r>
        <w:rPr>
          <w:rFonts w:hint="eastAsia" w:ascii="仿宋_GB2312" w:hAnsi="仿宋_GB2312" w:eastAsia="仿宋_GB2312" w:cs="仿宋_GB2312"/>
          <w:kern w:val="0"/>
          <w:sz w:val="32"/>
          <w:szCs w:val="32"/>
        </w:rPr>
        <w:t>购房人交存</w:t>
      </w:r>
      <w:r>
        <w:rPr>
          <w:rFonts w:hint="eastAsia" w:ascii="仿宋_GB2312" w:hAnsi="仿宋_GB2312" w:eastAsia="仿宋_GB2312" w:cs="仿宋_GB2312"/>
          <w:sz w:val="32"/>
          <w:szCs w:val="32"/>
        </w:rPr>
        <w:t>住宅专项维修资金，及时将合同的网签备案情况告知</w:t>
      </w:r>
      <w:r>
        <w:rPr>
          <w:rFonts w:hint="eastAsia" w:ascii="仿宋_GB2312" w:hAnsi="仿宋_GB2312" w:eastAsia="仿宋_GB2312" w:cs="仿宋_GB2312"/>
          <w:kern w:val="0"/>
          <w:sz w:val="32"/>
          <w:szCs w:val="32"/>
        </w:rPr>
        <w:t>购房人。我</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司商品房买卖合同网签备案工作负责人</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联系电话</w:t>
      </w:r>
      <w:r>
        <w:rPr>
          <w:rFonts w:hint="eastAsia" w:ascii="仿宋_GB2312" w:hAnsi="仿宋_GB2312" w:eastAsia="仿宋_GB2312" w:cs="仿宋_GB2312"/>
          <w:kern w:val="0"/>
          <w:sz w:val="32"/>
          <w:szCs w:val="32"/>
          <w:lang w:eastAsia="zh-CN"/>
        </w:rPr>
        <w:t>（手机）</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为保护购房人合法权益，方便购房人及时办理不动产证，让购房人住得安心。我</w:t>
      </w:r>
      <w:r>
        <w:rPr>
          <w:rFonts w:hint="eastAsia" w:ascii="仿宋_GB2312" w:hAnsi="仿宋_GB2312" w:eastAsia="仿宋_GB2312" w:cs="仿宋_GB2312"/>
          <w:kern w:val="0"/>
          <w:sz w:val="32"/>
          <w:szCs w:val="32"/>
          <w:lang w:eastAsia="zh-CN"/>
        </w:rPr>
        <w:t>公</w:t>
      </w:r>
      <w:r>
        <w:rPr>
          <w:rFonts w:hint="eastAsia" w:ascii="仿宋_GB2312" w:hAnsi="仿宋_GB2312" w:eastAsia="仿宋_GB2312" w:cs="仿宋_GB2312"/>
          <w:kern w:val="0"/>
          <w:sz w:val="32"/>
          <w:szCs w:val="32"/>
        </w:rPr>
        <w:t>司承诺</w:t>
      </w:r>
      <w:r>
        <w:rPr>
          <w:rFonts w:hint="eastAsia" w:ascii="仿宋_GB2312" w:hAnsi="仿宋_GB2312" w:eastAsia="仿宋_GB2312" w:cs="仿宋_GB2312"/>
          <w:kern w:val="0"/>
          <w:sz w:val="32"/>
          <w:szCs w:val="32"/>
          <w:lang w:eastAsia="zh-CN"/>
        </w:rPr>
        <w:t>按以下方式办理</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kern w:val="0"/>
          <w:sz w:val="32"/>
          <w:szCs w:val="32"/>
        </w:rPr>
        <w:t>在商品房交付前完成不动产竣工</w:t>
      </w:r>
      <w:r>
        <w:rPr>
          <w:rFonts w:hint="eastAsia" w:ascii="仿宋_GB2312" w:hAnsi="仿宋_GB2312" w:eastAsia="仿宋_GB2312" w:cs="仿宋_GB2312"/>
          <w:sz w:val="32"/>
          <w:szCs w:val="32"/>
        </w:rPr>
        <w:t>验收，办理不动产首次登记。房屋交付时购房人交清法定税费后实现“交房即交证”。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司在商品房交付后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日内完成不动产首次登记，购房人交清法定税费后，</w:t>
      </w:r>
      <w:r>
        <w:rPr>
          <w:rFonts w:hint="eastAsia" w:ascii="仿宋_GB2312" w:hAnsi="仿宋_GB2312" w:eastAsia="仿宋_GB2312" w:cs="仿宋_GB2312"/>
          <w:b/>
          <w:sz w:val="32"/>
          <w:szCs w:val="32"/>
        </w:rPr>
        <w:t>协助</w:t>
      </w:r>
      <w:r>
        <w:rPr>
          <w:rFonts w:hint="eastAsia" w:ascii="仿宋_GB2312" w:hAnsi="仿宋_GB2312" w:eastAsia="仿宋_GB2312" w:cs="仿宋_GB2312"/>
          <w:sz w:val="32"/>
          <w:szCs w:val="32"/>
        </w:rPr>
        <w:t>购房人</w:t>
      </w:r>
      <w:r>
        <w:rPr>
          <w:rFonts w:hint="eastAsia" w:ascii="仿宋_GB2312" w:hAnsi="仿宋_GB2312" w:eastAsia="仿宋_GB2312" w:cs="仿宋_GB2312"/>
          <w:b/>
          <w:sz w:val="32"/>
          <w:szCs w:val="32"/>
        </w:rPr>
        <w:t>办理不动产登记。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b w:val="0"/>
          <w:bCs/>
          <w:sz w:val="32"/>
          <w:szCs w:val="32"/>
        </w:rPr>
        <w:t>我</w:t>
      </w:r>
      <w:r>
        <w:rPr>
          <w:rFonts w:hint="eastAsia" w:ascii="仿宋_GB2312" w:hAnsi="仿宋_GB2312" w:eastAsia="仿宋_GB2312" w:cs="仿宋_GB2312"/>
          <w:b w:val="0"/>
          <w:bCs/>
          <w:sz w:val="32"/>
          <w:szCs w:val="32"/>
          <w:lang w:eastAsia="zh-CN"/>
        </w:rPr>
        <w:t>公</w:t>
      </w:r>
      <w:r>
        <w:rPr>
          <w:rFonts w:hint="eastAsia" w:ascii="仿宋_GB2312" w:hAnsi="仿宋_GB2312" w:eastAsia="仿宋_GB2312" w:cs="仿宋_GB2312"/>
          <w:b w:val="0"/>
          <w:bCs/>
          <w:sz w:val="32"/>
          <w:szCs w:val="32"/>
        </w:rPr>
        <w:t>司不动产登记</w:t>
      </w:r>
      <w:r>
        <w:rPr>
          <w:rFonts w:hint="eastAsia" w:ascii="仿宋_GB2312" w:hAnsi="仿宋_GB2312" w:eastAsia="仿宋_GB2312" w:cs="仿宋_GB2312"/>
          <w:sz w:val="32"/>
          <w:szCs w:val="32"/>
        </w:rPr>
        <w:t>工作负责人：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（手机）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（十四）</w:t>
      </w:r>
      <w:r>
        <w:rPr>
          <w:rFonts w:hint="eastAsia" w:ascii="楷体_GB2312" w:hAnsi="楷体_GB2312" w:eastAsia="楷体_GB2312" w:cs="楷体_GB2312"/>
          <w:b/>
          <w:bCs/>
          <w:sz w:val="32"/>
          <w:szCs w:val="32"/>
          <w:lang w:eastAsia="zh-CN"/>
        </w:rPr>
        <w:t>物业管理及首期住宅专项维修资金交存情况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val="0"/>
          <w:sz w:val="32"/>
          <w:szCs w:val="32"/>
          <w:lang w:val="en-US" w:eastAsia="zh-CN"/>
        </w:rPr>
        <w:t>1.</w:t>
      </w:r>
      <w:r>
        <w:rPr>
          <w:rStyle w:val="7"/>
          <w:rFonts w:hint="eastAsia" w:ascii="仿宋_GB2312" w:hAnsi="仿宋_GB2312" w:eastAsia="仿宋_GB2312" w:cs="仿宋_GB2312"/>
          <w:b/>
          <w:bCs w:val="0"/>
          <w:sz w:val="32"/>
          <w:szCs w:val="32"/>
        </w:rPr>
        <w:t>向物业服</w:t>
      </w:r>
      <w:r>
        <w:rPr>
          <w:rStyle w:val="7"/>
          <w:rFonts w:hint="eastAsia" w:ascii="仿宋_GB2312" w:hAnsi="仿宋_GB2312" w:eastAsia="仿宋_GB2312" w:cs="仿宋_GB2312"/>
          <w:sz w:val="32"/>
          <w:szCs w:val="32"/>
        </w:rPr>
        <w:t>务企业交付新建物业应当符合下列条件：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建设项目竣工验收合格，取得城乡规划、消防、环境保护等行政主管部门出具的认可或者准许使用文件，并经建设行政主管部门备案；</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供水、排水、供电、供气、供热、通信、公共照明、有线电视等市政公用设施设备按照规划设计要求建成，供水、供电、供气等计量装置已按照专有部分一户一终端结算表、共有部分独立计量表配置；</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教育、邮政、医疗卫生、文化体育、环境卫生、社区服务等公共服务设施已按照规划设计要求建成；</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rPr>
        <w:t>）道路、车位、绿地和物业服务用房等公共配套设施按照规划设计要求建成，并满足使用功能要求；</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电梯、二次供水、高压供电、消防设施、压力容器、监控系统等共用设施设备取得使用合格证书；</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（6）</w:t>
      </w:r>
      <w:r>
        <w:rPr>
          <w:rFonts w:hint="eastAsia" w:ascii="仿宋_GB2312" w:hAnsi="仿宋_GB2312" w:eastAsia="仿宋_GB2312" w:cs="仿宋_GB2312"/>
          <w:kern w:val="0"/>
          <w:sz w:val="32"/>
          <w:szCs w:val="32"/>
        </w:rPr>
        <w:t>同一住宅建设项目分期建设的，已建成的住宅周边场地与施工工地之间设置符合安全要求的隔离设施；</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（7）</w:t>
      </w:r>
      <w:r>
        <w:rPr>
          <w:rFonts w:hint="eastAsia" w:ascii="仿宋_GB2312" w:hAnsi="仿宋_GB2312" w:eastAsia="仿宋_GB2312" w:cs="仿宋_GB2312"/>
          <w:kern w:val="0"/>
          <w:sz w:val="32"/>
          <w:szCs w:val="32"/>
        </w:rPr>
        <w:t>物业使用、维护和管理的相关技术资料完整齐全；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（8）</w:t>
      </w:r>
      <w:r>
        <w:rPr>
          <w:rFonts w:hint="eastAsia" w:ascii="仿宋_GB2312" w:hAnsi="仿宋_GB2312" w:eastAsia="仿宋_GB2312" w:cs="仿宋_GB2312"/>
          <w:kern w:val="0"/>
          <w:sz w:val="32"/>
          <w:szCs w:val="32"/>
        </w:rPr>
        <w:t>法律、法规规定的其他条件。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将未达到交付条件的新建物业交付，我公司并承担前期物业服务费用。</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新建物业交付前向物业服务企业移交下列资料: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（1）竣工总平面图，单体建筑、结构、设备竣工图，人防工程、配套设施、地下管网工程竣工图等竣工验收资料；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（2）共用设施设备清单及其安装、使用和维护保养等技术资料；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（3）房屋建筑附属设施工程（供水、供电、通信、有线电视、雨污水、景观、道路等）竣工验收备案资料、准许使用文件或其他相关资料；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（4）物业质量保修文件和物业使用说明文件；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（5）业主名册;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rPr>
        <w:t>（6）承接查验所必需的其他资料。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建设单位未能全部移交前款所列资料的，应当列出未移交资料的详细清单并书面承诺补交的具体时限。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与物业服务企业对新建物业共用部位、共用设施设备进行承接查验程序如下：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（1）确定物业承接查验方案；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（2）移交有关图纸资料；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（3）查验共用部位、共用设施设备；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（4）解决查验发现的问题；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（5）确认现场查验结果；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（6）签订物业承接查验协议。</w:t>
      </w:r>
    </w:p>
    <w:p>
      <w:pPr>
        <w:keepNext w:val="0"/>
        <w:keepLines w:val="0"/>
        <w:pageBreakBefore w:val="0"/>
        <w:kinsoku/>
        <w:wordWrap/>
        <w:overflowPunct/>
        <w:topLinePunct w:val="0"/>
        <w:autoSpaceDE/>
        <w:autoSpaceDN/>
        <w:bidi w:val="0"/>
        <w:adjustRightInd/>
        <w:snapToGrid/>
        <w:spacing w:line="580" w:lineRule="exact"/>
        <w:ind w:firstLine="643" w:firstLineChars="200"/>
        <w:jc w:val="distribute"/>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rPr>
        <w:t>本项目的前期物业管理服务企业采取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方式选聘，前期管理服务企业名称为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服务时间为</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日。物业计费方式为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（包干制/酬金制），物业服务收费标准为：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前期物业管理服务合同签订时间</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日已在鄂州市住建局办理备案手续，物业管理区域四至界限东至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西至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北至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。物业管理服务企业负责人：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首期住宅专项维修资金交存：物业保修期满后，物业区域内共用部位、共用设施设备的维修和更新改造，由全体业主共同承担。本项目的首期住宅专项维修资金交存标准为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。买受人自商品房买卖合同网签后，持《鄂州市首期住宅专项维修资金交存通知单》到指定的维修资金交存窗口进行交存</w:t>
      </w:r>
      <w:r>
        <w:rPr>
          <w:rFonts w:hint="eastAsia" w:ascii="仿宋_GB2312" w:hAnsi="仿宋_GB2312" w:eastAsia="仿宋_GB2312" w:cs="仿宋_GB2312"/>
          <w:sz w:val="32"/>
          <w:szCs w:val="32"/>
          <w:lang w:eastAsia="zh-CN"/>
        </w:rPr>
        <w:t>。我公司按照《鄂州市住宅专项维修资金管理办法实施细则》的规定，采取以下措施全面督促买卖人交存首期住宅专项维修资金。</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买受人未按规定交存首期住宅专项维修资金，我司依约定暂缓办理买受人商品房合同备案手续</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val="en-US" w:eastAsia="zh-CN"/>
        </w:rPr>
        <w:t>2.我公司提供担保，保证买受人在房屋交付时交存首期住宅专项维修资金，买受人未按规定交存首期住宅专项维修资金由我公司代为交存。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val="en-US" w:eastAsia="zh-CN"/>
        </w:rPr>
        <w:t>3.买受人未按规定交存首期住宅专项维修资金交存不向买受人交付房屋，由此产生的延期交房责任由买受人承担。</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sym w:font="Wingdings" w:char="00A8"/>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已交付房屋，买受人未按规定交存首期住宅专项维修资金，在买受人办理权属登记前，我司督促买受人按规定交存首期住宅专项维修资金，查验维修资金交存凭证后，方可向买受人移交权属登记资料。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（十五）</w:t>
      </w:r>
      <w:r>
        <w:rPr>
          <w:rFonts w:hint="eastAsia" w:ascii="楷体_GB2312" w:hAnsi="楷体_GB2312" w:eastAsia="楷体_GB2312" w:cs="楷体_GB2312"/>
          <w:b/>
          <w:bCs/>
          <w:sz w:val="32"/>
          <w:szCs w:val="32"/>
          <w:lang w:eastAsia="zh-CN"/>
        </w:rPr>
        <w:t xml:space="preserve">其它相关承诺如下：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对提供到网上预（销）售的楼盘信息和本预售方案真实性、合法性负责。</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在取得预售许可后10日内，一次性公开全部准售房源并明码标价对外公开销售。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在取得商品房预售许可证明前，不以任何形式收取购房人的任何费用，不进行任何形式的预售。客户积累大于可供房源时，采用由公证机构主持的公开摇号方式销售商品住房。</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不以排号、摇号、入会、发放VIP卡、售数部开张、参观展示中心，参观样板房等形式集中购房人的活动；不采取“提前登记、集中开盘”的售房模式；不采取内部认购、雇人排队等手段人为制造房源紧张氛围。</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不采取返本销售、售后包租的方式预售商品房；不进行商品房虚假交易；保证不出现“一房两订”或者“一房两卖”的行为、住房不分割出售、非住宅不划线销售；不将不符合房屋权属登记规定的空间以赠送房间、面积等形式进行广告宣传和促销。</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保证不销售业主共有的房屋、其他空间和设施设备，不将业主共有的房屋、其他空间和设施设备通过合同或其他形式擅自设定为业主专有；不侵犯业主其他合法的共有权益。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严格按要求，在售楼部全面准确公示本公司及项目销售相关信息；不发布售虚假信息、虚假广告和未经核实的信息。</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保证实际销售价格和售楼部公示的价格以及网上销售系统公示的价格在任何时间都完全一致，销售部公示的销控表和网上销售系统公示的销售状态在任何时间都完全一致；若需调整房价，将先报主管部门备案并在销售现场重新公示调整价格后，再按调整价格销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严格遵守网上签约认购制度。在签订认购协议之前不先行收取订金及其它任何费用；购房款由购房人下接存入本公司的商品房预售资金监管帐户，本公司不直接收存商品房预售资金。</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领取《商品房预售许可证》后申请办理在建工程抵押登记。抵押前已出售的商品房不列入抵押范围，抵押后出售的商品房严格按照《商品房认购协议》约定时间及时解押</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与客户签约备案。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严格遵循“平等自愿”原则与购房人签约。签约时，除做到按行业管理要求向购房人公示、明示全部相关信息外，还将结合本楼盘实际情况，周密考虑可能出现的问题，并把解决可能出现问题的复杂和艰难程度设想到位，在合同中进行提醒并约定解决办法，尽量减少和避免合同纠纷。</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严格遵守购房人实名制。管好本公司工作人员以及代理销售的人员，不让其作任何违反规定或无法兑现的许诺、发布不实信息参与协助炒房。</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严格按照有关规定和合同约定条款督促业主交存住宅维修资金、办理交房手续及不动产权证登记。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严格按照有关文件要求向前期物业服务企业移交相关资料和相应设施设备。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保证按照法定和合同约定的时间足额支付建设工程款，并从付款机制上确保所付工程款中的民工工资及时足额发放到民工手中；不以任何理由因为民工工资问题推卸责任。</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如违反有关法律法规和以上承诺，本公司愿意按法律法规、政府和行业主管部门的规范性文件接受处理，愿意将不良行为记入企业信用档案并在媒体曝光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（十六）</w:t>
      </w:r>
      <w:r>
        <w:rPr>
          <w:rFonts w:hint="eastAsia" w:ascii="楷体_GB2312" w:hAnsi="楷体_GB2312" w:eastAsia="楷体_GB2312" w:cs="楷体_GB2312"/>
          <w:b/>
          <w:bCs/>
          <w:sz w:val="32"/>
          <w:szCs w:val="32"/>
          <w:lang w:eastAsia="zh-CN"/>
        </w:rPr>
        <w:t>向买受人公示的资料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为方便买受人充分了解本项目信息，实现理性购房、放心购房，我公司将在售楼现场严格按照规定公开公示以下资 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“五证”的公示；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楼盘销控表的公示 表内要公示已售房源、未售房源；</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经审核的房屋预测报告，面积分摊明细和公共部位等详见销售现场公示接受业监督。</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一房一价表公示，包括含每套房屋的房屋用途、房号、预（实）测面积、套内建筑面积、销售单价（毛坯）、装修单价、销售总价等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《商品房销售管理办法》、《城市商品房预售管理办法》的公示；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商品房预</w:t>
      </w:r>
      <w:r>
        <w:rPr>
          <w:rFonts w:hint="eastAsia" w:ascii="仿宋_GB2312" w:hAnsi="仿宋_GB2312" w:eastAsia="仿宋_GB2312" w:cs="仿宋_GB2312"/>
          <w:sz w:val="32"/>
          <w:szCs w:val="32"/>
          <w:lang w:eastAsia="zh-CN"/>
        </w:rPr>
        <w:t>（销）</w:t>
      </w:r>
      <w:r>
        <w:rPr>
          <w:rFonts w:hint="eastAsia" w:ascii="仿宋_GB2312" w:hAnsi="仿宋_GB2312" w:eastAsia="仿宋_GB2312" w:cs="仿宋_GB2312"/>
          <w:sz w:val="32"/>
          <w:szCs w:val="32"/>
        </w:rPr>
        <w:t>售方案的公示；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所有准售楼栋预售资金监管银行及账号的公示；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委托营销代理公司销售的，公示营销代理公司营业执照、委托代理书、营销代理公司备案证明；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《商品房买卖合同》（示范文本）及《认购协议》（示范文本）的公示；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《业主临时公约》、《前期物业管理协议》的公示。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（十七）</w:t>
      </w:r>
      <w:r>
        <w:rPr>
          <w:rFonts w:hint="eastAsia" w:ascii="楷体_GB2312" w:hAnsi="楷体_GB2312" w:eastAsia="楷体_GB2312" w:cs="楷体_GB2312"/>
          <w:b/>
          <w:bCs/>
          <w:sz w:val="32"/>
          <w:szCs w:val="32"/>
          <w:lang w:eastAsia="zh-CN"/>
        </w:rPr>
        <w:t>附件材料目录（扫描上传）</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国有土地出让合同；</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国有土地不动产权证；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国有土地规划许可证；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建设工程规划预许可证；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施工许可证；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建设工程规划审批单；</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在建工程抵押权人同意出售的材料；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街办、镇人民政府关于房屋拆迁安置的证明材料；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经审核备案的房屋预测报告；</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预售资金监管协议；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商品房精装修合同；</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施工合同；</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开发企业营业执照；</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开发企业资质证书；</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可售房源信息表（每套（处）房屋的房屋用途、房号、预（实）测面积、套内建筑面积、销售单价（毛坯）、装修单价、销售总价等）；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营销代理公司营业执照；</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营销代理公司备案证明；</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《业主临时公约》；</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《前期物业管理协议》；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车库（车位）租售方案；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社区工作服务用移交协议（或承诺书）；</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开发企业名称：</w:t>
      </w: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开发企业签章：</w:t>
      </w: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3840" w:firstLineChars="1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开发企业法人签字：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鄂州市商品房预（销）售方案备案证明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cs="宋体"/>
          <w:sz w:val="28"/>
          <w:szCs w:val="28"/>
          <w:lang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t>编号：</w:t>
      </w:r>
    </w:p>
    <w:tbl>
      <w:tblPr>
        <w:tblStyle w:val="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702"/>
        <w:gridCol w:w="1898"/>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开发企业名称</w:t>
            </w:r>
          </w:p>
        </w:tc>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法定代表人</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联系电话</w:t>
            </w:r>
          </w:p>
        </w:tc>
        <w:tc>
          <w:tcPr>
            <w:tcW w:w="24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项目座落</w:t>
            </w:r>
          </w:p>
        </w:tc>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项目名称</w:t>
            </w:r>
          </w:p>
        </w:tc>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预（销）售方案备案号</w:t>
            </w:r>
          </w:p>
        </w:tc>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预（销）售幢号</w:t>
            </w:r>
          </w:p>
        </w:tc>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预（销）售面积</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住宅备案均价</w:t>
            </w:r>
          </w:p>
        </w:tc>
        <w:tc>
          <w:tcPr>
            <w:tcW w:w="24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不可售套数</w:t>
            </w:r>
          </w:p>
        </w:tc>
        <w:tc>
          <w:tcPr>
            <w:tcW w:w="17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预（销）售套数</w:t>
            </w:r>
          </w:p>
        </w:tc>
        <w:tc>
          <w:tcPr>
            <w:tcW w:w="246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28"/>
          <w:szCs w:val="28"/>
          <w:lang w:eastAsia="zh-CN"/>
        </w:rPr>
      </w:pPr>
    </w:p>
    <w:p>
      <w:pPr>
        <w:keepNext w:val="0"/>
        <w:keepLines w:val="0"/>
        <w:pageBreakBefore w:val="0"/>
        <w:kinsoku/>
        <w:wordWrap/>
        <w:overflowPunct/>
        <w:topLinePunct w:val="0"/>
        <w:autoSpaceDE/>
        <w:autoSpaceDN/>
        <w:bidi w:val="0"/>
        <w:adjustRightInd/>
        <w:snapToGrid/>
        <w:spacing w:line="600" w:lineRule="exact"/>
        <w:ind w:firstLine="5600" w:firstLineChars="2000"/>
        <w:textAlignment w:val="auto"/>
        <w:rPr>
          <w:rFonts w:hint="eastAsia" w:ascii="宋体" w:hAnsi="宋体" w:cs="宋体"/>
          <w:sz w:val="28"/>
          <w:szCs w:val="28"/>
          <w:lang w:eastAsia="zh-CN"/>
        </w:rPr>
      </w:pPr>
      <w:r>
        <w:rPr>
          <w:rFonts w:hint="eastAsia" w:ascii="宋体" w:hAnsi="宋体" w:cs="宋体"/>
          <w:sz w:val="28"/>
          <w:szCs w:val="28"/>
          <w:lang w:eastAsia="zh-CN"/>
        </w:rPr>
        <w:t>年</w:t>
      </w:r>
      <w:r>
        <w:rPr>
          <w:rFonts w:hint="eastAsia" w:ascii="宋体" w:hAnsi="宋体" w:cs="宋体"/>
          <w:sz w:val="28"/>
          <w:szCs w:val="28"/>
          <w:lang w:val="en-US" w:eastAsia="zh-CN"/>
        </w:rPr>
        <w:t xml:space="preserve">    </w:t>
      </w:r>
      <w:r>
        <w:rPr>
          <w:rFonts w:hint="eastAsia" w:ascii="宋体" w:hAnsi="宋体" w:cs="宋体"/>
          <w:sz w:val="28"/>
          <w:szCs w:val="28"/>
          <w:lang w:eastAsia="zh-CN"/>
        </w:rPr>
        <w:t>月</w:t>
      </w:r>
      <w:r>
        <w:rPr>
          <w:rFonts w:hint="eastAsia" w:ascii="宋体" w:hAnsi="宋体" w:cs="宋体"/>
          <w:sz w:val="28"/>
          <w:szCs w:val="28"/>
          <w:lang w:val="en-US" w:eastAsia="zh-CN"/>
        </w:rPr>
        <w:t xml:space="preserve">    </w:t>
      </w:r>
      <w:r>
        <w:rPr>
          <w:rFonts w:hint="eastAsia" w:ascii="宋体" w:hAnsi="宋体" w:cs="宋体"/>
          <w:sz w:val="28"/>
          <w:szCs w:val="28"/>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lang w:val="en-US" w:eastAsia="zh-CN"/>
        </w:rPr>
      </w:pPr>
    </w:p>
    <w:sectPr>
      <w:footerReference r:id="rId3" w:type="default"/>
      <w:pgSz w:w="11906" w:h="16838"/>
      <w:pgMar w:top="2098" w:right="1531" w:bottom="175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2010609010101010101"/>
    <w:charset w:val="86"/>
    <w:family w:val="moder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B1368"/>
    <w:rsid w:val="170D495D"/>
    <w:rsid w:val="1B606757"/>
    <w:rsid w:val="1C253E58"/>
    <w:rsid w:val="1FC36645"/>
    <w:rsid w:val="204A047B"/>
    <w:rsid w:val="20CC5754"/>
    <w:rsid w:val="2C342BB6"/>
    <w:rsid w:val="32E75AC2"/>
    <w:rsid w:val="33624545"/>
    <w:rsid w:val="347E2955"/>
    <w:rsid w:val="36E00CDD"/>
    <w:rsid w:val="39901B2C"/>
    <w:rsid w:val="3E3665E1"/>
    <w:rsid w:val="3EE25FD4"/>
    <w:rsid w:val="3EE63F26"/>
    <w:rsid w:val="44862E5C"/>
    <w:rsid w:val="46063939"/>
    <w:rsid w:val="474B3069"/>
    <w:rsid w:val="476F0331"/>
    <w:rsid w:val="4BBD19B6"/>
    <w:rsid w:val="4CCB2EE7"/>
    <w:rsid w:val="4EA90DA3"/>
    <w:rsid w:val="4F0B3615"/>
    <w:rsid w:val="515744B6"/>
    <w:rsid w:val="54C0535B"/>
    <w:rsid w:val="563441D6"/>
    <w:rsid w:val="5A916D8E"/>
    <w:rsid w:val="5D8F16E2"/>
    <w:rsid w:val="636F02D2"/>
    <w:rsid w:val="68632E51"/>
    <w:rsid w:val="68874777"/>
    <w:rsid w:val="6CF70709"/>
    <w:rsid w:val="72F90BA1"/>
    <w:rsid w:val="73657B4E"/>
    <w:rsid w:val="76E154E3"/>
    <w:rsid w:val="77CD4730"/>
    <w:rsid w:val="78E51F5F"/>
    <w:rsid w:val="7A3C48A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qForma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table" w:styleId="9">
    <w:name w:val="Table Grid"/>
    <w:basedOn w:val="8"/>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_ded0168c-d9ed-40a5-be83-71e1db0e2f3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3406</Words>
  <Characters>3414</Characters>
  <Lines>0</Lines>
  <Paragraphs>46</Paragraphs>
  <TotalTime>7</TotalTime>
  <ScaleCrop>false</ScaleCrop>
  <LinksUpToDate>false</LinksUpToDate>
  <CharactersWithSpaces>3418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2021-05-07T23:24:00Z</dcterms:created>
  <dc:creator>Administrator</dc:creator>
  <cp:lastModifiedBy>冯旸</cp:lastModifiedBy>
  <cp:lastPrinted>2021-07-15T03:08:00Z</cp:lastPrinted>
  <dcterms:modified xsi:type="dcterms:W3CDTF">2021-09-15T01:54:24Z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6293DC724B5F435EB7BB1C692C6DF594</vt:lpwstr>
  </property>
</Properties>
</file>