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300" w:lineRule="exact"/>
        <w:ind w:left="94" w:leftChars="0" w:hanging="94" w:hangingChars="17"/>
        <w:textAlignment w:val="auto"/>
        <w:outlineLvl w:val="9"/>
        <w:rPr>
          <w:rFonts w:hint="eastAsia" w:ascii="文鼎大标宋简" w:eastAsia="文鼎大标宋简"/>
          <w:color w:val="FF0000"/>
          <w:spacing w:val="28"/>
          <w:w w:val="50"/>
          <w:sz w:val="100"/>
          <w:szCs w:val="100"/>
        </w:rPr>
      </w:pPr>
      <w:bookmarkStart w:id="0" w:name="Content"/>
      <w:bookmarkEnd w:id="0"/>
      <w:bookmarkStart w:id="1" w:name="bookmark3"/>
      <w:r>
        <w:rPr>
          <w:rFonts w:hint="eastAsia" w:ascii="文鼎大标宋简" w:eastAsia="文鼎大标宋简"/>
          <w:color w:val="FF0000"/>
          <w:spacing w:val="28"/>
          <w:w w:val="50"/>
          <w:sz w:val="100"/>
          <w:szCs w:val="100"/>
        </w:rPr>
        <mc:AlternateContent>
          <mc:Choice Requires="wps">
            <w:drawing>
              <wp:anchor distT="0" distB="0" distL="114300" distR="114300" simplePos="0" relativeHeight="251658240" behindDoc="0" locked="0" layoutInCell="1" allowOverlap="1">
                <wp:simplePos x="0" y="0"/>
                <wp:positionH relativeFrom="column">
                  <wp:posOffset>3220720</wp:posOffset>
                </wp:positionH>
                <wp:positionV relativeFrom="paragraph">
                  <wp:posOffset>133350</wp:posOffset>
                </wp:positionV>
                <wp:extent cx="2442210" cy="1473835"/>
                <wp:effectExtent l="4445" t="4445" r="10795" b="7620"/>
                <wp:wrapNone/>
                <wp:docPr id="9" name="文本框 9"/>
                <wp:cNvGraphicFramePr/>
                <a:graphic xmlns:a="http://schemas.openxmlformats.org/drawingml/2006/main">
                  <a:graphicData uri="http://schemas.microsoft.com/office/word/2010/wordprocessingShape">
                    <wps:wsp>
                      <wps:cNvSpPr txBox="1"/>
                      <wps:spPr>
                        <a:xfrm>
                          <a:off x="0" y="0"/>
                          <a:ext cx="2442210" cy="14738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before="0" w:beforeLines="100" w:line="1600" w:lineRule="exact"/>
                              <w:textAlignment w:val="auto"/>
                              <w:outlineLvl w:val="9"/>
                              <w:rPr>
                                <w:rFonts w:hint="eastAsia" w:ascii="文鼎大标宋简" w:eastAsia="文鼎大标宋简"/>
                                <w:color w:val="FF0000"/>
                                <w:w w:val="45"/>
                                <w:sz w:val="110"/>
                                <w:szCs w:val="110"/>
                                <w:lang w:eastAsia="zh-CN"/>
                              </w:rPr>
                            </w:pPr>
                            <w:r>
                              <w:rPr>
                                <w:rFonts w:hint="eastAsia" w:ascii="文鼎大标宋简" w:eastAsia="文鼎大标宋简"/>
                                <w:color w:val="FF0000"/>
                                <w:w w:val="45"/>
                                <w:sz w:val="110"/>
                                <w:szCs w:val="110"/>
                                <w:lang w:val="en-US" w:eastAsia="zh-CN"/>
                              </w:rPr>
                              <w:t xml:space="preserve"> </w:t>
                            </w:r>
                            <w:r>
                              <w:rPr>
                                <w:rFonts w:hint="eastAsia" w:ascii="文鼎大标宋简" w:eastAsia="文鼎大标宋简"/>
                                <w:color w:val="FF0000"/>
                                <w:w w:val="45"/>
                                <w:sz w:val="110"/>
                                <w:szCs w:val="110"/>
                                <w:lang w:eastAsia="zh-CN"/>
                              </w:rPr>
                              <w:t>领导小组办公室</w:t>
                            </w:r>
                          </w:p>
                        </w:txbxContent>
                      </wps:txbx>
                      <wps:bodyPr lIns="0" tIns="0" rIns="0" bIns="0" upright="1"/>
                    </wps:wsp>
                  </a:graphicData>
                </a:graphic>
              </wp:anchor>
            </w:drawing>
          </mc:Choice>
          <mc:Fallback>
            <w:pict>
              <v:shape id="_x0000_s1026" o:spid="_x0000_s1026" o:spt="202" type="#_x0000_t202" style="position:absolute;left:0pt;margin-left:253.6pt;margin-top:10.5pt;height:116.05pt;width:192.3pt;z-index:251658240;mso-width-relative:page;mso-height-relative:page;" fillcolor="#FFFFFF" filled="t" stroked="t" coordsize="21600,21600" o:gfxdata="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Ti0+tkAAAAKAQAADwAAAAAAAAABACAAAAAiAAAAZHJzL2Rv&#10;d25yZXYueG1sUEsBAhQAFAAAAAgAh07iQA2MVUQAAgAAGwQAAA4AAAAAAAAAAQAgAAAAKAEAAGRy&#10;cy9lMm9Eb2MueG1sUEsFBgAAAAAGAAYAWQEAAJoFAAAAAA==&#10;">
                <v:fill on="t" focussize="0,0"/>
                <v:stroke color="#FFFFFF"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0" w:beforeLines="100" w:line="1600" w:lineRule="exact"/>
                        <w:textAlignment w:val="auto"/>
                        <w:outlineLvl w:val="9"/>
                        <w:rPr>
                          <w:rFonts w:hint="eastAsia" w:ascii="文鼎大标宋简" w:eastAsia="文鼎大标宋简"/>
                          <w:color w:val="FF0000"/>
                          <w:w w:val="45"/>
                          <w:sz w:val="110"/>
                          <w:szCs w:val="110"/>
                          <w:lang w:eastAsia="zh-CN"/>
                        </w:rPr>
                      </w:pPr>
                      <w:r>
                        <w:rPr>
                          <w:rFonts w:hint="eastAsia" w:ascii="文鼎大标宋简" w:eastAsia="文鼎大标宋简"/>
                          <w:color w:val="FF0000"/>
                          <w:w w:val="45"/>
                          <w:sz w:val="110"/>
                          <w:szCs w:val="110"/>
                          <w:lang w:val="en-US" w:eastAsia="zh-CN"/>
                        </w:rPr>
                        <w:t xml:space="preserve"> </w:t>
                      </w:r>
                      <w:r>
                        <w:rPr>
                          <w:rFonts w:hint="eastAsia" w:ascii="文鼎大标宋简" w:eastAsia="文鼎大标宋简"/>
                          <w:color w:val="FF0000"/>
                          <w:w w:val="45"/>
                          <w:sz w:val="110"/>
                          <w:szCs w:val="110"/>
                          <w:lang w:eastAsia="zh-CN"/>
                        </w:rPr>
                        <w:t>领导小组办公室</w:t>
                      </w:r>
                    </w:p>
                  </w:txbxContent>
                </v:textbox>
              </v:shape>
            </w:pict>
          </mc:Fallback>
        </mc:AlternateContent>
      </w:r>
      <w:r>
        <w:rPr>
          <w:rFonts w:hint="eastAsia" w:ascii="文鼎大标宋简" w:eastAsia="文鼎大标宋简"/>
          <w:color w:val="FF0000"/>
          <w:spacing w:val="28"/>
          <w:w w:val="50"/>
          <w:sz w:val="100"/>
          <w:szCs w:val="100"/>
        </w:rPr>
        <w:t>鄂州市</w:t>
      </w:r>
      <w:r>
        <w:rPr>
          <w:rFonts w:hint="eastAsia" w:ascii="文鼎大标宋简" w:eastAsia="文鼎大标宋简"/>
          <w:color w:val="FF0000"/>
          <w:spacing w:val="28"/>
          <w:w w:val="50"/>
          <w:sz w:val="100"/>
          <w:szCs w:val="100"/>
          <w:lang w:eastAsia="zh-CN"/>
        </w:rPr>
        <w:t>工程建设项目</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eastAsia="仿宋_GB2312"/>
          <w:color w:val="FF0000"/>
          <w:spacing w:val="57"/>
          <w:w w:val="50"/>
          <w:sz w:val="100"/>
          <w:szCs w:val="100"/>
          <w:lang w:eastAsia="zh-CN"/>
        </w:rPr>
      </w:pPr>
      <w:r>
        <w:rPr>
          <w:rFonts w:hint="eastAsia" w:ascii="文鼎大标宋简" w:eastAsia="文鼎大标宋简"/>
          <w:color w:val="FF0000"/>
          <w:spacing w:val="68"/>
          <w:w w:val="50"/>
          <w:sz w:val="100"/>
          <w:szCs w:val="100"/>
          <w:lang w:eastAsia="zh-CN"/>
        </w:rPr>
        <w:t>审批制度改革工作</w:t>
      </w:r>
    </w:p>
    <w:p>
      <w:pPr>
        <w:keepNext w:val="0"/>
        <w:keepLines w:val="0"/>
        <w:pageBreakBefore w:val="0"/>
        <w:widowControl w:val="0"/>
        <w:kinsoku/>
        <w:wordWrap/>
        <w:overflowPunct/>
        <w:topLinePunct w:val="0"/>
        <w:autoSpaceDE/>
        <w:autoSpaceDN/>
        <w:bidi w:val="0"/>
        <w:adjustRightInd/>
        <w:snapToGrid/>
        <w:spacing w:before="633" w:beforeLines="200" w:after="96" w:afterLines="30" w:line="480" w:lineRule="exact"/>
        <w:ind w:left="0" w:leftChars="0" w:right="0" w:rightChars="0" w:firstLine="0" w:firstLineChars="0"/>
        <w:jc w:val="center"/>
        <w:textAlignment w:val="auto"/>
        <w:outlineLvl w:val="9"/>
        <w:rPr>
          <w:rFonts w:hint="eastAsia" w:ascii="楷体_GB2312" w:hAnsi="楷体_GB2312" w:eastAsia="楷体_GB2312" w:cs="楷体_GB2312"/>
          <w:color w:val="FF0000"/>
          <w:sz w:val="32"/>
          <w:lang w:eastAsia="zh-CN"/>
        </w:rPr>
      </w:pPr>
      <w:r>
        <w:rPr>
          <w:rFonts w:hint="eastAsia" w:ascii="楷体_GB2312" w:hAnsi="楷体_GB2312" w:eastAsia="楷体_GB2312" w:cs="楷体_GB2312"/>
          <w:color w:val="auto"/>
          <w:sz w:val="32"/>
          <w:lang w:eastAsia="zh-CN"/>
        </w:rPr>
        <w:t>鄂州工改办〔</w:t>
      </w:r>
      <w:r>
        <w:rPr>
          <w:rFonts w:hint="eastAsia" w:ascii="楷体_GB2312" w:hAnsi="楷体_GB2312" w:eastAsia="楷体_GB2312" w:cs="楷体_GB2312"/>
          <w:color w:val="auto"/>
          <w:sz w:val="32"/>
          <w:lang w:val="en-US" w:eastAsia="zh-CN"/>
        </w:rPr>
        <w:t>2023</w:t>
      </w:r>
      <w:r>
        <w:rPr>
          <w:rFonts w:hint="eastAsia" w:ascii="楷体_GB2312" w:hAnsi="楷体_GB2312" w:eastAsia="楷体_GB2312" w:cs="楷体_GB2312"/>
          <w:color w:val="auto"/>
          <w:sz w:val="32"/>
          <w:lang w:eastAsia="zh-CN"/>
        </w:rPr>
        <w:t>〕</w:t>
      </w:r>
      <w:r>
        <w:rPr>
          <w:rFonts w:hint="eastAsia" w:ascii="楷体_GB2312" w:hAnsi="楷体_GB2312" w:eastAsia="楷体_GB2312" w:cs="楷体_GB2312"/>
          <w:color w:val="auto"/>
          <w:sz w:val="32"/>
          <w:lang w:val="en-US" w:eastAsia="zh-CN"/>
        </w:rPr>
        <w:t>36号</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eastAsia="仿宋_GB2312"/>
          <w:color w:val="FF0000"/>
          <w:sz w:val="32"/>
        </w:rPr>
      </w:pPr>
      <w:r>
        <w:rPr>
          <w:rFonts w:eastAsia="黑体"/>
          <w:sz w:val="36"/>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7620</wp:posOffset>
                </wp:positionV>
                <wp:extent cx="5722620" cy="0"/>
                <wp:effectExtent l="0" t="15875" r="11430" b="22225"/>
                <wp:wrapNone/>
                <wp:docPr id="10" name="直接连接符 10"/>
                <wp:cNvGraphicFramePr/>
                <a:graphic xmlns:a="http://schemas.openxmlformats.org/drawingml/2006/main">
                  <a:graphicData uri="http://schemas.microsoft.com/office/word/2010/wordprocessingShape">
                    <wps:wsp>
                      <wps:cNvCnPr/>
                      <wps:spPr>
                        <a:xfrm>
                          <a:off x="0" y="0"/>
                          <a:ext cx="572262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0.6pt;height:0pt;width:450.6pt;z-index:251659264;mso-width-relative:page;mso-height-relative:page;" filled="f" stroked="t" coordsize="21600,21600" o:gfxdata="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NEAW1QAAAAYBAAAP&#10;AAAAAAAAAAEAIAAAACIAAABkcnMvZG93bnJldi54bWxQSwECFAAUAAAACACHTuJAQhygA+IBAACn&#10;AwAADgAAAAAAAAABACAAAAAkAQAAZHJzL2Uyb0RvYy54bWxQSwUGAAAAAAYABgBZAQAAeAUAAAAA&#10;">
                <v:fill on="f" focussize="0,0"/>
                <v:stroke weight="2.5pt" color="#FF0000" joinstyle="round"/>
                <v:imagedata o:title=""/>
                <o:lock v:ext="edit" aspectratio="f"/>
              </v:line>
            </w:pict>
          </mc:Fallback>
        </mc:AlternateContent>
      </w:r>
    </w:p>
    <w:bookmarkEnd w:id="1"/>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关于印发《鄂州市社</w:t>
      </w:r>
      <w:bookmarkStart w:id="2" w:name="_GoBack"/>
      <w:bookmarkEnd w:id="2"/>
      <w:r>
        <w:rPr>
          <w:rFonts w:hint="eastAsia" w:ascii="方正小标宋简体" w:hAnsi="方正小标宋简体" w:eastAsia="方正小标宋简体" w:cs="方正小标宋简体"/>
          <w:sz w:val="44"/>
          <w:szCs w:val="44"/>
          <w:lang w:val="en-US" w:eastAsia="zh-CN"/>
        </w:rPr>
        <w:t>会投资类项目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“用地清单制+告知承诺制”改革实施方案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（试行）》的通知</w:t>
      </w:r>
    </w:p>
    <w:p>
      <w:pPr>
        <w:keepNext w:val="0"/>
        <w:keepLines w:val="0"/>
        <w:pageBreakBefore w:val="0"/>
        <w:widowControl w:val="0"/>
        <w:kinsoku/>
        <w:wordWrap/>
        <w:overflowPunct w:val="0"/>
        <w:topLinePunct w:val="0"/>
        <w:autoSpaceDE/>
        <w:autoSpaceDN/>
        <w:bidi w:val="0"/>
        <w:adjustRightInd/>
        <w:snapToGrid/>
        <w:spacing w:line="560" w:lineRule="exact"/>
        <w:ind w:firstLine="960" w:firstLineChars="200"/>
        <w:jc w:val="both"/>
        <w:textAlignment w:val="auto"/>
        <w:outlineLvl w:val="9"/>
        <w:rPr>
          <w:rFonts w:hint="eastAsia" w:ascii="黑体" w:hAnsi="黑体" w:eastAsia="黑体" w:cs="黑体"/>
          <w:sz w:val="48"/>
          <w:szCs w:val="48"/>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人民政府，葛店经开区、临空经济区管委会，市发改委、市财政局、市自然资源和规划局、市生态环境局、市住建局、市水利和湖泊局、市文化和旅游局、市应急管理局、市国动办、市城管委、市气象局，水电气暖公用服务单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现将《鄂州市社会投资类项目“用地清单制+告知承诺制”改革实施方案（试行）》印发你们，请结合实际，抓好贯彻落实。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spacing w:line="580" w:lineRule="exact"/>
        <w:ind w:left="4474" w:leftChars="1216" w:hanging="1920" w:hanging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鄂州市工程建设项目审批制度改革工作  </w:t>
      </w:r>
    </w:p>
    <w:p>
      <w:pPr>
        <w:spacing w:line="580" w:lineRule="exact"/>
        <w:ind w:left="4480" w:hanging="4480" w:hanging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领 导 小 组 办 公 室</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2023年8月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spacing w:line="560" w:lineRule="exact"/>
        <w:ind w:firstLine="640" w:firstLineChars="200"/>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eastAsia="仿宋_GB2312" w:cs="仿宋_GB2312"/>
          <w:sz w:val="32"/>
          <w:szCs w:val="32"/>
          <w:shd w:val="clear" w:color="auto" w:fill="FFFFFF"/>
        </w:rPr>
        <w:t xml:space="preserve"> </w:t>
      </w:r>
      <w:r>
        <w:rPr>
          <w:rFonts w:hint="eastAsia" w:ascii="方正小标宋简体" w:hAnsi="方正小标宋简体" w:eastAsia="方正小标宋简体" w:cs="方正小标宋简体"/>
          <w:color w:val="auto"/>
          <w:sz w:val="44"/>
          <w:szCs w:val="44"/>
          <w:lang w:val="en-US" w:eastAsia="zh-CN"/>
        </w:rPr>
        <w:t>鄂州市社会投资类项目“用地清单制+告知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承诺制”改革实施方案（试行）</w:t>
      </w:r>
    </w:p>
    <w:p>
      <w:pPr>
        <w:keepNext w:val="0"/>
        <w:keepLines w:val="0"/>
        <w:pageBreakBefore w:val="0"/>
        <w:widowControl w:val="0"/>
        <w:kinsoku/>
        <w:wordWrap/>
        <w:overflowPunct w:val="0"/>
        <w:topLinePunct w:val="0"/>
        <w:autoSpaceDE/>
        <w:autoSpaceDN/>
        <w:bidi w:val="0"/>
        <w:adjustRightInd/>
        <w:snapToGrid/>
        <w:spacing w:line="580" w:lineRule="exact"/>
        <w:ind w:firstLine="560" w:firstLineChars="200"/>
        <w:jc w:val="both"/>
        <w:textAlignment w:val="auto"/>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为贯彻落实</w:t>
      </w:r>
      <w:r>
        <w:rPr>
          <w:rFonts w:hint="eastAsia" w:ascii="仿宋_GB2312" w:hAnsi="仿宋_GB2312" w:eastAsia="仿宋_GB2312" w:cs="仿宋_GB2312"/>
          <w:color w:val="000000"/>
          <w:sz w:val="32"/>
          <w:szCs w:val="32"/>
        </w:rPr>
        <w:t>党中央、国务院关于深化“放管服”改革优化营商环境工作的决策部署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深化</w:t>
      </w:r>
      <w:r>
        <w:rPr>
          <w:rFonts w:hint="eastAsia" w:ascii="仿宋_GB2312" w:hAnsi="仿宋_GB2312" w:eastAsia="仿宋_GB2312" w:cs="仿宋_GB2312"/>
          <w:color w:val="000000"/>
          <w:sz w:val="32"/>
          <w:szCs w:val="32"/>
        </w:rPr>
        <w:t>工程建设项目审批制度改革，提高工程建设项目审批效率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lang w:val="en-US" w:eastAsia="zh-CN"/>
        </w:rPr>
        <w:t>根据省自然资源厅、省发展和改革委员会、省住房和城乡建设厅《关于印发〈社会投资类项目“用地清单制”改革实施方案（试行）〉的通知》（鄂自然资函〔2023〕 522号）、《市优化办关于落实复制推广国家营商环境创新试点改革举措工作任务的通知》（鄂州优化办〔2022〕49号）、《市优化办关于印发〈鄂州市落实全省2023年以控制成本为核心优化营商环境实施方案〉的通知》（鄂州优化办〔2023〕27号），探索推进社会投资类项目“用地清单制+告知承诺制”改革，结合实际，制定本实施方案。</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一、改革目标</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深化“标准地”出让，推进“用地清单制+告知承诺制”改革，进一步提高</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政府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服务水平</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减轻用地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负担，缩短项目审批时间，加快项目落地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建设</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土地供应前，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各区、葛店经开区、临空经济区按照管理权限在确定区域内（经批准设立的开发区、园区）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开展区域性评价和现状普查，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形成评估评价结果、普查意见清单和告知承诺制事项清单，在土地供应时一并交付用地单位，负责签订《企业投资项目“用地清单制+告知承诺制”承诺书》及其他承诺文书。企业取得建设用地后，已经实行区域评估且符合区域评估使用条件的项目审批事项实行“告知承诺制”。将规划设计方案纳入土地划拨或挂牌出让条件的，建设工程规划许可证可实行“告知承诺制”。项目在后续报建或验收环节，原则上不得增加清单外的要求（商服用地出让，各区、葛店经开区、临空经济区可结合实际，参照执行）。</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2023年底前，葛店经开区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、临空经济区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开展社会投资类项目“用地清单制+告知承诺制”改革试点。2024年底前，</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葛店开发区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社会投资类项目“用地清单制+告知承诺制”出让不得低于新增工业用地“标准地”出让的5%</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其他园区不得低于3%。</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2025年，</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我市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全面推行社会投资类项目“用地清单制+告知承诺制”改革。</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二、主要内容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（一）做好土地收储工作。</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根据国民经济和社会发展规划、国土规划、土地利用总体规划、城乡规划等，合理编制土地储备三年滚动计划和年度储备计划。经市、区人民政府批准后，及时录入全民所有土地资产管理信息系统，并按计划时序，对在库储备土地开展前期开发整理，为土地供应夯实基础，充分发挥土地储备作用。</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（二）落实“净地”供应。</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“用地清单制”出让项目需土地权属清晰，征地安置补偿落实到位，无法律、经济纠纷，具备项目开工“三通一平”（通水、通电、通路、土地平整）等基本条件。</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（三）全面推行区域性统一评价。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发改部门组织各区、葛店经开区、临空经济区在确定的区域内开展环境影响评价、节能评价、水土保持、洪水影响评价、取水许可、矿产压覆、文物保护、地质灾害危险性、地震安全性、气候可行性等评价评估。经论证可免评的事项，经具有该事项审批管理权限的部门认定，视同已完成该事项评价评估。</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（四）开展现状普查。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各区、葛店经开区、临空经济区组织相关部门对文物、历史建筑保护对象、古树名木、人防工程、地下管线、土壤污染状况调查（用地变为“一住两公”的）等进行现状普查，明确普查标准，形成普查意见清单。</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（五）建立“用地清单”。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相关主管部门依据职责，建立含规划环评、水土保持、矿产压覆、地质灾害、洪水影响等审批事项的“用地清单”，各行业主管部门依职责，将“用地清单”审批意见反馈自然资源和规划部门。当项目外部条件发生变化或因发生重大国家政策调整及出现新的行业技术规范，各区、葛店经开区、临空经济区应组织相关部门对原评估（普查）结果进行复核，及时调整完善，通过后形成新“用地清单”管理意见，在供地时一并提供给用地单位。</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（六）推行“告知承诺制”。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相关主管部门依据职责，建立“告知承诺制”模板，包括节能审查、建设项目环境影响评价审批、生产建设项目水土保持方案审批、其他已完成区域评估的审批事项的全过程“告知承诺清单”模板，及其他非核心要素“告知承诺清单”模板。在用地出让前，各行业主管部门反馈“用地清单”审批意见时，一并明确可实施“告知承诺制”审批的具体审批事项。原则上对纳入“用地清单制+告知承诺制”的出让地块，用地单位取得土地并按要求承诺的，相关审批主管部门、市政公用服务单位对用地单位豁免用地红线范围内的部分审批手续。</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（七）搭建“用地清单”信息系统。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市“多规合一”业务协同平台基础上，增加“用地清单”管理功能，为各部门（单位）信息上传提供支撑。市“多规合一”业务协同平台要与湖北省政务服务网投资/工程建设项目审批管理系统等互联互通，共享“用地清单”信息，为加强部门协同、简化后续审批提供支撑。</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（八）实施全程化监管。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用地清单制+告知承诺制”改革项目出让事前、事中、事后监管，重点对“告知承诺清单”进行监管，根据“联合监督、各负其责”的原则，发现违法违规行为的，加大监督频次和抽检力度，采取责令整改、记录不良行为、行政处罚等措施，纳入信用管理，并追究违法责任。对于失信企业，不再对其推行“用地清单制+告知承诺制”审批。</w:t>
      </w:r>
    </w:p>
    <w:p>
      <w:pPr>
        <w:pStyle w:val="3"/>
        <w:keepNext w:val="0"/>
        <w:keepLines w:val="0"/>
        <w:pageBreakBefore w:val="0"/>
        <w:widowControl w:val="0"/>
        <w:kinsoku/>
        <w:wordWrap/>
        <w:overflowPunct w:val="0"/>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三、责任分工</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自然资源和规划部门是牵头单位，各区政府、葛店经开区和临空经济区管委会是实施主体，财政部门提供经费保障，相关部门依据职责积极履行。具体分工如下：</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发改部门：提出能源消费总量和强度控制要求。其他需要明确的要求。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财政部门：市、区财政部门按照财政事权和支出责任分工，提供资金支持，承担纳入“用地清单”涉及评估、评价、普查事项相关费用支出。</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资源和规划部门：开展地质灾害危险性评估、压覆重要矿产资源查询工作，提供区域（宗地）地质灾害危险性情况说明、压覆重要矿产资源查询意见；保护古树名木和珍贵树木，禁止破坏古树名木和珍贵树木及其生存自然环境。其他需要明确的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生态环境部门：会同市自然资源和规划局组织开展土壤污染状况调查报告专家审查工作，出具专家意见；提出是否需要环评的意见。其他需要明确的要求。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住建部门：开展地下管线现状普查，涉及迁改的提出迁改意见；提供项目用地配套基础设施建设条件意见。其他需要明确的要求。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水利和湖泊部门：提出水土保持、洪水影响评价、取水许可等意见。其他需要明确的要求。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文化和旅游部门：根据考古调查、勘探情况，提出地上、地下文物保护具体措施及要求。其他需要明确的要求。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应急管理部门：对建设工程是否开展地震安全性评价出具意见。其他需要明确的要求。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国动办：提出人民防空要求。其他需要明确的要求。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城管部门：提出地块范围内存在园林绿化管理意见。其他需要明确的要求。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气象部门：开展拟出让土地区域（宗地）内的气候可行性等现状普查，形成评估结果和普查意见。对新建扩建改建建设工程进行避免危害气象探测环境审批、对雷电防护装置进行设计审核和竣工验收。其他需要明确的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国网鄂州供电公司：提出供电管线和设施等的现状，涉及迁改的，基本迁移要点；出让地块配套建设的供电设施的意见和建设标准，履行施工工艺质量验收程序等。其他需要明确的要求。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除以上部门外，自然资源和规划部门可根据实际情况向其他部门征询意见。</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四、相关要求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（一）加强组织领导。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各部门要提高政治站位，充分认识“用地清单制+告知承诺制”改革对优化营商环境的重要意义，明确责任主管领导，责任科室，确保“用地清单制+告知承诺制”改革任务顺利推进。</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（二）建立专人联络机制。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市自然资源和规划局、各行业主管部门、公共服务企业、各区自然资源管理部门和各土地整理主体应明确1名联络人，专职负责协调基础信息收发、成果信息汇总报告等事宜，及时通报评估、评价及普查进展情况，督办跟踪本单位及时办结。</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（三）开展指导培训。</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市级行政主管部门要制定评估评价关键指标要素、技术设计要点、评审方式、评审意见等反馈意见的格式文本，制定相关工作规范标准。</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（四）简化报建程序。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土地出让后，各相关行政主管部门和市政公用服务单位应当严格按照清单范围，做好项目后续报建或竣工验收等工作，压缩报建时限，提高审批效率。</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（五）推进政策落实。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区、葛店经开区、临空经济区要有效对接“标准地”出让五证同发、告知承诺制审批、先建后验、多评合一、多测合一、多验合一等改革措施，聚合改革叠加效应，激发市场活力，开展全过程信用评价，落实失信惩戒办法，做好政策宣讲解读，及时总结推广典型经验做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附件：1.“用地清单”一览表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2.“用地清单”××宗地管理意见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jc w:val="both"/>
        <w:textAlignment w:val="auto"/>
        <w:rPr>
          <w:rFonts w:hint="eastAsia" w:asciiTheme="minorEastAsia" w:hAnsiTheme="minorEastAsia" w:cstheme="minorEastAsia"/>
          <w:color w:val="auto"/>
          <w:sz w:val="28"/>
          <w:szCs w:val="28"/>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3.“用地清单”告知承诺制清单事项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page"/>
      </w:r>
      <w:r>
        <w:rPr>
          <w:rFonts w:hint="eastAsia" w:ascii="黑体" w:hAnsi="黑体" w:eastAsia="黑体" w:cs="黑体"/>
          <w:color w:val="auto"/>
          <w:sz w:val="32"/>
          <w:szCs w:val="32"/>
          <w:lang w:val="en-US" w:eastAsia="zh-CN"/>
        </w:rPr>
        <w:t>附件1</w:t>
      </w:r>
      <w:r>
        <w:rPr>
          <w:rFonts w:hint="eastAsia" w:asciiTheme="minorEastAsia" w:hAnsiTheme="minorEastAsia" w:cstheme="minorEastAsia"/>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“用地清单”一览表（参考模板）</w:t>
      </w:r>
    </w:p>
    <w:tbl>
      <w:tblPr>
        <w:tblStyle w:val="10"/>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370"/>
        <w:gridCol w:w="1735"/>
        <w:gridCol w:w="308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序号</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指标</w:t>
            </w:r>
          </w:p>
        </w:tc>
        <w:tc>
          <w:tcPr>
            <w:tcW w:w="17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职能部门</w:t>
            </w:r>
          </w:p>
        </w:tc>
        <w:tc>
          <w:tcPr>
            <w:tcW w:w="30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管理清单内容</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区域能评</w:t>
            </w:r>
          </w:p>
        </w:tc>
        <w:tc>
          <w:tcPr>
            <w:tcW w:w="17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发改部门</w:t>
            </w:r>
          </w:p>
        </w:tc>
        <w:tc>
          <w:tcPr>
            <w:tcW w:w="30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项目区域能评意见</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压覆矿产资源区域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性统一调查评价</w:t>
            </w:r>
          </w:p>
        </w:tc>
        <w:tc>
          <w:tcPr>
            <w:tcW w:w="173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自然资源和规划部门</w:t>
            </w:r>
          </w:p>
        </w:tc>
        <w:tc>
          <w:tcPr>
            <w:tcW w:w="308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地质灾害危险性、压覆矿产资源调查评价报告、评审备案文件、压覆审批文件</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地质灾害危险性</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评估</w:t>
            </w:r>
          </w:p>
        </w:tc>
        <w:tc>
          <w:tcPr>
            <w:tcW w:w="17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区域规划环评</w:t>
            </w:r>
          </w:p>
        </w:tc>
        <w:tc>
          <w:tcPr>
            <w:tcW w:w="17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生态环境部门</w:t>
            </w:r>
          </w:p>
        </w:tc>
        <w:tc>
          <w:tcPr>
            <w:tcW w:w="30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区域环评意见</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地震安全性评价</w:t>
            </w:r>
          </w:p>
        </w:tc>
        <w:tc>
          <w:tcPr>
            <w:tcW w:w="17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应急管理部门</w:t>
            </w:r>
          </w:p>
        </w:tc>
        <w:tc>
          <w:tcPr>
            <w:tcW w:w="30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地震安全性评价意见，初步确定抗震设防要求</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6</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水资源论证</w:t>
            </w:r>
          </w:p>
        </w:tc>
        <w:tc>
          <w:tcPr>
            <w:tcW w:w="173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水和湖泊部门</w:t>
            </w:r>
          </w:p>
        </w:tc>
        <w:tc>
          <w:tcPr>
            <w:tcW w:w="308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水资源论证、防洪影响评估工作，出具结果意见</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7</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防洪影响评估</w:t>
            </w:r>
          </w:p>
        </w:tc>
        <w:tc>
          <w:tcPr>
            <w:tcW w:w="17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气候可行性论证</w:t>
            </w:r>
          </w:p>
        </w:tc>
        <w:tc>
          <w:tcPr>
            <w:tcW w:w="17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气象部门</w:t>
            </w:r>
          </w:p>
        </w:tc>
        <w:tc>
          <w:tcPr>
            <w:tcW w:w="30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气候可行性论证评价管理意见和管控要求</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9</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考古调查勘探发掘</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评估</w:t>
            </w:r>
          </w:p>
        </w:tc>
        <w:tc>
          <w:tcPr>
            <w:tcW w:w="173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文化和旅游部门</w:t>
            </w:r>
          </w:p>
        </w:tc>
        <w:tc>
          <w:tcPr>
            <w:tcW w:w="308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考古调查勘探和文物影响区域评估报告</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7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文物普查</w:t>
            </w:r>
          </w:p>
        </w:tc>
        <w:tc>
          <w:tcPr>
            <w:tcW w:w="17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308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10</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历史建筑保护对象</w:t>
            </w:r>
          </w:p>
        </w:tc>
        <w:tc>
          <w:tcPr>
            <w:tcW w:w="173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住建部门</w:t>
            </w:r>
          </w:p>
        </w:tc>
        <w:tc>
          <w:tcPr>
            <w:tcW w:w="30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出具有关保护措施及管理要求</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11</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商服用地建设条件</w:t>
            </w:r>
          </w:p>
        </w:tc>
        <w:tc>
          <w:tcPr>
            <w:tcW w:w="17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p>
        </w:tc>
        <w:tc>
          <w:tcPr>
            <w:tcW w:w="30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涉及商服用地的，可提供建设条件意见</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古树名木</w:t>
            </w:r>
          </w:p>
        </w:tc>
        <w:tc>
          <w:tcPr>
            <w:tcW w:w="17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自然资源和规划部门</w:t>
            </w:r>
          </w:p>
        </w:tc>
        <w:tc>
          <w:tcPr>
            <w:tcW w:w="30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古树名木普查意见</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13</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人防工程普查</w:t>
            </w:r>
          </w:p>
        </w:tc>
        <w:tc>
          <w:tcPr>
            <w:tcW w:w="17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国动办</w:t>
            </w:r>
          </w:p>
        </w:tc>
        <w:tc>
          <w:tcPr>
            <w:tcW w:w="30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出具有关保护措施及管理要求</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14</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地下管线</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（水电气暖）</w:t>
            </w:r>
          </w:p>
        </w:tc>
        <w:tc>
          <w:tcPr>
            <w:tcW w:w="17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住建部门、水务集团、国网鄂州供电力公司、燃气公司 、供暖公司</w:t>
            </w:r>
          </w:p>
        </w:tc>
        <w:tc>
          <w:tcPr>
            <w:tcW w:w="30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出具线路、管廊有关保护措施及管理要求</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7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土壤污染状况调查（用地变为“一住两公”）</w:t>
            </w:r>
          </w:p>
        </w:tc>
        <w:tc>
          <w:tcPr>
            <w:tcW w:w="17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生态环境部门、自然资源和规划部门</w:t>
            </w:r>
          </w:p>
        </w:tc>
        <w:tc>
          <w:tcPr>
            <w:tcW w:w="30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组织开展土壤污染状况调查报告专家审查，出具专家意见。</w:t>
            </w:r>
          </w:p>
        </w:tc>
        <w:tc>
          <w:tcPr>
            <w:tcW w:w="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br w:type="page"/>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附件2</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黑体" w:hAnsi="黑体" w:eastAsia="黑体" w:cs="黑体"/>
          <w:color w:val="auto"/>
          <w:sz w:val="32"/>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36"/>
          <w:szCs w:val="28"/>
          <w:lang w:val="en-US" w:eastAsia="zh-CN"/>
        </w:rPr>
      </w:pPr>
      <w:r>
        <w:rPr>
          <w:rFonts w:hint="eastAsia" w:ascii="方正小标宋简体" w:hAnsi="方正小标宋简体" w:eastAsia="方正小标宋简体" w:cs="方正小标宋简体"/>
          <w:color w:val="auto"/>
          <w:sz w:val="36"/>
          <w:szCs w:val="28"/>
          <w:lang w:val="en-US" w:eastAsia="zh-CN"/>
        </w:rPr>
        <w:t>“用地清单”××宗地管理意见（参考模板）</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36"/>
          <w:szCs w:val="28"/>
          <w:lang w:val="en-US" w:eastAsia="zh-CN"/>
        </w:rPr>
      </w:pPr>
    </w:p>
    <w:tbl>
      <w:tblPr>
        <w:tblStyle w:val="10"/>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066"/>
        <w:gridCol w:w="335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序号</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管理清单名称</w:t>
            </w:r>
          </w:p>
        </w:tc>
        <w:tc>
          <w:tcPr>
            <w:tcW w:w="33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管理部门</w:t>
            </w:r>
          </w:p>
        </w:tc>
        <w:tc>
          <w:tcPr>
            <w:tcW w:w="15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管理意见或要求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节能评价</w:t>
            </w:r>
          </w:p>
        </w:tc>
        <w:tc>
          <w:tcPr>
            <w:tcW w:w="33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发改部门</w:t>
            </w:r>
          </w:p>
        </w:tc>
        <w:tc>
          <w:tcPr>
            <w:tcW w:w="15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压覆矿产资源区域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性统一调查评价</w:t>
            </w:r>
          </w:p>
        </w:tc>
        <w:tc>
          <w:tcPr>
            <w:tcW w:w="33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自然资源和规划部门</w:t>
            </w:r>
          </w:p>
        </w:tc>
        <w:tc>
          <w:tcPr>
            <w:tcW w:w="159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地质灾害危险性评估</w:t>
            </w:r>
          </w:p>
        </w:tc>
        <w:tc>
          <w:tcPr>
            <w:tcW w:w="33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59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区域规划环评</w:t>
            </w:r>
          </w:p>
        </w:tc>
        <w:tc>
          <w:tcPr>
            <w:tcW w:w="33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生态环境部门</w:t>
            </w:r>
          </w:p>
        </w:tc>
        <w:tc>
          <w:tcPr>
            <w:tcW w:w="15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地震安全性评价</w:t>
            </w:r>
          </w:p>
        </w:tc>
        <w:tc>
          <w:tcPr>
            <w:tcW w:w="33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应急管理部门</w:t>
            </w:r>
          </w:p>
        </w:tc>
        <w:tc>
          <w:tcPr>
            <w:tcW w:w="15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6</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水资源论证</w:t>
            </w:r>
          </w:p>
        </w:tc>
        <w:tc>
          <w:tcPr>
            <w:tcW w:w="33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水和湖泊部门</w:t>
            </w:r>
          </w:p>
        </w:tc>
        <w:tc>
          <w:tcPr>
            <w:tcW w:w="159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7</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防洪影响评估</w:t>
            </w:r>
          </w:p>
        </w:tc>
        <w:tc>
          <w:tcPr>
            <w:tcW w:w="33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59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气候可行性论证</w:t>
            </w:r>
          </w:p>
        </w:tc>
        <w:tc>
          <w:tcPr>
            <w:tcW w:w="33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气象部门</w:t>
            </w:r>
          </w:p>
        </w:tc>
        <w:tc>
          <w:tcPr>
            <w:tcW w:w="15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0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9</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考古调查勘探发掘评估</w:t>
            </w:r>
          </w:p>
        </w:tc>
        <w:tc>
          <w:tcPr>
            <w:tcW w:w="33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文化和旅游部门</w:t>
            </w:r>
          </w:p>
        </w:tc>
        <w:tc>
          <w:tcPr>
            <w:tcW w:w="159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文物普查</w:t>
            </w:r>
          </w:p>
        </w:tc>
        <w:tc>
          <w:tcPr>
            <w:tcW w:w="33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59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10</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历史建筑保护对象</w:t>
            </w:r>
          </w:p>
        </w:tc>
        <w:tc>
          <w:tcPr>
            <w:tcW w:w="33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住建部门</w:t>
            </w:r>
          </w:p>
        </w:tc>
        <w:tc>
          <w:tcPr>
            <w:tcW w:w="15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11</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商服用地建设条件</w:t>
            </w:r>
          </w:p>
        </w:tc>
        <w:tc>
          <w:tcPr>
            <w:tcW w:w="33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古树名木</w:t>
            </w:r>
          </w:p>
        </w:tc>
        <w:tc>
          <w:tcPr>
            <w:tcW w:w="33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自然资源和规划部门</w:t>
            </w:r>
          </w:p>
        </w:tc>
        <w:tc>
          <w:tcPr>
            <w:tcW w:w="15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13</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人防工程普查</w:t>
            </w:r>
          </w:p>
        </w:tc>
        <w:tc>
          <w:tcPr>
            <w:tcW w:w="33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国动办</w:t>
            </w:r>
          </w:p>
        </w:tc>
        <w:tc>
          <w:tcPr>
            <w:tcW w:w="15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14</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地下管线</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（水电气暖）</w:t>
            </w:r>
          </w:p>
        </w:tc>
        <w:tc>
          <w:tcPr>
            <w:tcW w:w="33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住建部门、水务集团、国网鄂州供电力公司、燃气公司 、供暖公司</w:t>
            </w:r>
          </w:p>
        </w:tc>
        <w:tc>
          <w:tcPr>
            <w:tcW w:w="15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土壤污染状况调查（用地变为“一住两公”）</w:t>
            </w:r>
          </w:p>
        </w:tc>
        <w:tc>
          <w:tcPr>
            <w:tcW w:w="33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生态环境部门、自然资源和规划部门</w:t>
            </w:r>
          </w:p>
        </w:tc>
        <w:tc>
          <w:tcPr>
            <w:tcW w:w="15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bl>
    <w:p>
      <w:pPr>
        <w:rPr>
          <w:rFonts w:hint="eastAsia" w:ascii="仿宋" w:hAnsi="仿宋" w:eastAsia="仿宋"/>
          <w:sz w:val="28"/>
          <w:lang w:val="zh-CN"/>
        </w:rPr>
      </w:pPr>
      <w:r>
        <w:rPr>
          <w:rFonts w:hint="eastAsia" w:ascii="仿宋" w:hAnsi="仿宋" w:eastAsia="仿宋"/>
          <w:sz w:val="28"/>
          <w:lang w:val="zh-CN"/>
        </w:rPr>
        <w:br w:type="page"/>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28"/>
          <w:lang w:val="en-US" w:eastAsia="zh-CN"/>
        </w:rPr>
      </w:pPr>
      <w:r>
        <w:rPr>
          <w:rFonts w:hint="eastAsia" w:ascii="黑体" w:hAnsi="黑体" w:eastAsia="黑体" w:cs="黑体"/>
          <w:color w:val="auto"/>
          <w:sz w:val="32"/>
          <w:lang w:val="en-US" w:eastAsia="zh-CN"/>
        </w:rPr>
        <w:t>附件3</w:t>
      </w:r>
    </w:p>
    <w:p>
      <w:pPr>
        <w:pStyle w:val="6"/>
        <w:spacing w:before="312" w:beforeLines="100" w:after="312" w:afterLines="100"/>
        <w:ind w:left="0" w:leftChars="0" w:firstLine="0" w:firstLineChars="0"/>
        <w:jc w:val="center"/>
        <w:rPr>
          <w:rFonts w:hint="eastAsia" w:eastAsia="方正小标宋_GBK"/>
          <w:bCs/>
          <w:sz w:val="40"/>
          <w:szCs w:val="40"/>
        </w:rPr>
      </w:pPr>
      <w:r>
        <w:rPr>
          <w:rFonts w:hint="eastAsia" w:eastAsia="方正小标宋_GBK"/>
          <w:bCs/>
          <w:sz w:val="40"/>
          <w:szCs w:val="40"/>
          <w:lang w:val="en-US" w:eastAsia="zh-CN"/>
        </w:rPr>
        <w:t>“</w:t>
      </w:r>
      <w:r>
        <w:rPr>
          <w:rFonts w:eastAsia="方正小标宋_GBK"/>
          <w:bCs/>
          <w:sz w:val="40"/>
          <w:szCs w:val="40"/>
        </w:rPr>
        <w:t>用地清单</w:t>
      </w:r>
      <w:r>
        <w:rPr>
          <w:rFonts w:hint="eastAsia" w:eastAsia="方正小标宋_GBK"/>
          <w:bCs/>
          <w:sz w:val="40"/>
          <w:szCs w:val="40"/>
          <w:lang w:val="en-US" w:eastAsia="zh-CN"/>
        </w:rPr>
        <w:t>”</w:t>
      </w:r>
      <w:r>
        <w:rPr>
          <w:rFonts w:eastAsia="方正小标宋_GBK"/>
          <w:bCs/>
          <w:sz w:val="40"/>
          <w:szCs w:val="40"/>
        </w:rPr>
        <w:t>告知承诺制清单事项</w:t>
      </w:r>
      <w:r>
        <w:rPr>
          <w:rFonts w:hint="eastAsia" w:eastAsia="方正小标宋_GBK"/>
          <w:bCs/>
          <w:sz w:val="40"/>
          <w:szCs w:val="40"/>
        </w:rPr>
        <w:t>（参考模板）</w:t>
      </w:r>
    </w:p>
    <w:p/>
    <w:tbl>
      <w:tblPr>
        <w:tblStyle w:val="9"/>
        <w:tblW w:w="8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517"/>
        <w:gridCol w:w="1724"/>
        <w:gridCol w:w="2654"/>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08"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bCs/>
                <w:sz w:val="24"/>
              </w:rPr>
              <w:t>序号</w:t>
            </w:r>
          </w:p>
        </w:tc>
        <w:tc>
          <w:tcPr>
            <w:tcW w:w="2517" w:type="dxa"/>
            <w:noWrap w:val="0"/>
            <w:vAlign w:val="center"/>
          </w:tcPr>
          <w:p>
            <w:pPr>
              <w:widowControl/>
              <w:spacing w:line="400" w:lineRule="exact"/>
              <w:jc w:val="center"/>
              <w:rPr>
                <w:rFonts w:hint="eastAsia" w:ascii="黑体" w:hAnsi="黑体" w:eastAsia="黑体" w:cs="黑体"/>
                <w:sz w:val="24"/>
              </w:rPr>
            </w:pPr>
            <w:r>
              <w:rPr>
                <w:rFonts w:hint="eastAsia" w:ascii="黑体" w:hAnsi="黑体" w:eastAsia="黑体" w:cs="黑体"/>
                <w:kern w:val="0"/>
                <w:sz w:val="24"/>
              </w:rPr>
              <w:t>可通过“用地清单制+告知承诺制”办理的事项名称</w:t>
            </w:r>
          </w:p>
        </w:tc>
        <w:tc>
          <w:tcPr>
            <w:tcW w:w="1724" w:type="dxa"/>
            <w:noWrap w:val="0"/>
            <w:vAlign w:val="center"/>
          </w:tcPr>
          <w:p>
            <w:pPr>
              <w:widowControl/>
              <w:spacing w:line="400" w:lineRule="exact"/>
              <w:jc w:val="center"/>
              <w:rPr>
                <w:rFonts w:hint="eastAsia" w:ascii="黑体" w:hAnsi="黑体" w:eastAsia="黑体" w:cs="黑体"/>
                <w:sz w:val="24"/>
              </w:rPr>
            </w:pPr>
            <w:r>
              <w:rPr>
                <w:rFonts w:hint="eastAsia" w:ascii="黑体" w:hAnsi="黑体" w:eastAsia="黑体" w:cs="黑体"/>
                <w:kern w:val="0"/>
                <w:sz w:val="24"/>
              </w:rPr>
              <w:t>行政审批部门</w:t>
            </w:r>
          </w:p>
        </w:tc>
        <w:tc>
          <w:tcPr>
            <w:tcW w:w="2654" w:type="dxa"/>
            <w:noWrap w:val="0"/>
            <w:vAlign w:val="center"/>
          </w:tcPr>
          <w:p>
            <w:pPr>
              <w:spacing w:line="400" w:lineRule="exact"/>
              <w:ind w:firstLine="240" w:firstLineChars="100"/>
              <w:jc w:val="center"/>
              <w:rPr>
                <w:rFonts w:hint="eastAsia" w:ascii="黑体" w:hAnsi="黑体" w:eastAsia="黑体" w:cs="黑体"/>
                <w:sz w:val="24"/>
              </w:rPr>
            </w:pPr>
            <w:r>
              <w:rPr>
                <w:rFonts w:hint="eastAsia" w:ascii="黑体" w:hAnsi="黑体" w:eastAsia="黑体" w:cs="黑体"/>
                <w:kern w:val="0"/>
                <w:sz w:val="24"/>
              </w:rPr>
              <w:t>承诺内容</w:t>
            </w:r>
          </w:p>
        </w:tc>
        <w:tc>
          <w:tcPr>
            <w:tcW w:w="1313"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是\否</w:t>
            </w:r>
          </w:p>
          <w:p>
            <w:pPr>
              <w:spacing w:line="400" w:lineRule="exact"/>
              <w:jc w:val="center"/>
              <w:rPr>
                <w:rFonts w:hint="eastAsia" w:ascii="黑体" w:hAnsi="黑体" w:eastAsia="黑体" w:cs="黑体"/>
                <w:sz w:val="24"/>
              </w:rPr>
            </w:pPr>
            <w:r>
              <w:rPr>
                <w:rFonts w:hint="eastAsia" w:ascii="黑体" w:hAnsi="黑体" w:eastAsia="黑体" w:cs="黑体"/>
                <w:sz w:val="24"/>
              </w:rPr>
              <w:t>纳入清单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517" w:type="dxa"/>
            <w:noWrap w:val="0"/>
            <w:vAlign w:val="center"/>
          </w:tcPr>
          <w:p>
            <w:pPr>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固定资产投资项目</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节能审查</w:t>
            </w:r>
          </w:p>
        </w:tc>
        <w:tc>
          <w:tcPr>
            <w:tcW w:w="172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发改部门</w:t>
            </w:r>
          </w:p>
        </w:tc>
        <w:tc>
          <w:tcPr>
            <w:tcW w:w="265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承诺项目符合区域评估结论和要求</w:t>
            </w:r>
          </w:p>
        </w:tc>
        <w:tc>
          <w:tcPr>
            <w:tcW w:w="1313" w:type="dxa"/>
            <w:noWrap w:val="0"/>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是\已纳入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517"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建设用地规划许可和建设用地批准书</w:t>
            </w:r>
          </w:p>
        </w:tc>
        <w:tc>
          <w:tcPr>
            <w:tcW w:w="1724" w:type="dxa"/>
            <w:noWrap w:val="0"/>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自然资源和规划部门</w:t>
            </w:r>
          </w:p>
        </w:tc>
        <w:tc>
          <w:tcPr>
            <w:tcW w:w="265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2"/>
                <w:szCs w:val="22"/>
              </w:rPr>
              <w:t>承诺项目符合土地利用规划、城镇规划、产业规划</w:t>
            </w:r>
          </w:p>
        </w:tc>
        <w:tc>
          <w:tcPr>
            <w:tcW w:w="1313"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是\已纳入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2517"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建设工程规划许可证核发</w:t>
            </w:r>
          </w:p>
        </w:tc>
        <w:tc>
          <w:tcPr>
            <w:tcW w:w="1724" w:type="dxa"/>
            <w:noWrap w:val="0"/>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自然资源和规划部门</w:t>
            </w:r>
          </w:p>
        </w:tc>
        <w:tc>
          <w:tcPr>
            <w:tcW w:w="265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承诺项目符合国土空间详细规划，建设方案审批应在开工前完成</w:t>
            </w:r>
          </w:p>
        </w:tc>
        <w:tc>
          <w:tcPr>
            <w:tcW w:w="1313"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是\已纳入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608"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2517"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区域地质灾害危险性评估</w:t>
            </w:r>
          </w:p>
        </w:tc>
        <w:tc>
          <w:tcPr>
            <w:tcW w:w="1724" w:type="dxa"/>
            <w:noWrap w:val="0"/>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自然资源和规划部门</w:t>
            </w:r>
          </w:p>
        </w:tc>
        <w:tc>
          <w:tcPr>
            <w:tcW w:w="265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有区域评价成果，</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直接采纳</w:t>
            </w:r>
          </w:p>
        </w:tc>
        <w:tc>
          <w:tcPr>
            <w:tcW w:w="1313"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是\已纳入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517"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压覆重要矿产资源区域评估</w:t>
            </w:r>
          </w:p>
        </w:tc>
        <w:tc>
          <w:tcPr>
            <w:tcW w:w="1724" w:type="dxa"/>
            <w:noWrap w:val="0"/>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自然资源和规划部门</w:t>
            </w:r>
          </w:p>
        </w:tc>
        <w:tc>
          <w:tcPr>
            <w:tcW w:w="265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有区域评价成果，</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直接采纳</w:t>
            </w:r>
          </w:p>
        </w:tc>
        <w:tc>
          <w:tcPr>
            <w:tcW w:w="1313"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是\已纳入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608"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2517" w:type="dxa"/>
            <w:noWrap w:val="0"/>
            <w:vAlign w:val="center"/>
          </w:tcPr>
          <w:p>
            <w:pPr>
              <w:pStyle w:val="6"/>
              <w:spacing w:line="400" w:lineRule="exact"/>
              <w:ind w:left="0" w:leftChars="0"/>
              <w:jc w:val="center"/>
              <w:rPr>
                <w:rFonts w:hint="eastAsia" w:ascii="仿宋_GB2312" w:hAnsi="仿宋_GB2312" w:eastAsia="仿宋_GB2312" w:cs="仿宋_GB2312"/>
                <w:sz w:val="24"/>
              </w:rPr>
            </w:pPr>
            <w:r>
              <w:rPr>
                <w:rFonts w:hint="eastAsia" w:ascii="仿宋_GB2312" w:hAnsi="仿宋_GB2312" w:eastAsia="仿宋_GB2312" w:cs="仿宋_GB2312"/>
                <w:sz w:val="24"/>
              </w:rPr>
              <w:t>宗地地价评估</w:t>
            </w:r>
          </w:p>
        </w:tc>
        <w:tc>
          <w:tcPr>
            <w:tcW w:w="1724" w:type="dxa"/>
            <w:noWrap w:val="0"/>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自然资源和规划部门</w:t>
            </w:r>
          </w:p>
        </w:tc>
        <w:tc>
          <w:tcPr>
            <w:tcW w:w="265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自然资源和规划部门</w:t>
            </w:r>
            <w:r>
              <w:rPr>
                <w:rFonts w:hint="eastAsia" w:ascii="仿宋_GB2312" w:hAnsi="仿宋_GB2312" w:eastAsia="仿宋_GB2312" w:cs="仿宋_GB2312"/>
                <w:sz w:val="24"/>
              </w:rPr>
              <w:t>在“净地”准备阶段已完成，直接采纳</w:t>
            </w:r>
          </w:p>
        </w:tc>
        <w:tc>
          <w:tcPr>
            <w:tcW w:w="1313"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是\已纳入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2517" w:type="dxa"/>
            <w:noWrap w:val="0"/>
            <w:vAlign w:val="center"/>
          </w:tcPr>
          <w:p>
            <w:pPr>
              <w:pStyle w:val="6"/>
              <w:spacing w:line="400" w:lineRule="exact"/>
              <w:ind w:left="0" w:left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建设项目环境影响评价</w:t>
            </w:r>
          </w:p>
          <w:p>
            <w:pPr>
              <w:pStyle w:val="6"/>
              <w:spacing w:line="400" w:lineRule="exact"/>
              <w:ind w:left="0" w:leftChars="0"/>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文件审批</w:t>
            </w:r>
          </w:p>
        </w:tc>
        <w:tc>
          <w:tcPr>
            <w:tcW w:w="172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生态环境部门</w:t>
            </w:r>
          </w:p>
        </w:tc>
        <w:tc>
          <w:tcPr>
            <w:tcW w:w="265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有区域评价成果，原则上由审批主管部门出具意见</w:t>
            </w:r>
          </w:p>
        </w:tc>
        <w:tc>
          <w:tcPr>
            <w:tcW w:w="1313"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是\已纳入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608"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517"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生产建设项目水土</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保持方案审批</w:t>
            </w:r>
          </w:p>
        </w:tc>
        <w:tc>
          <w:tcPr>
            <w:tcW w:w="172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水利</w:t>
            </w:r>
            <w:r>
              <w:rPr>
                <w:rFonts w:hint="eastAsia" w:ascii="仿宋_GB2312" w:hAnsi="仿宋_GB2312" w:eastAsia="仿宋_GB2312" w:cs="仿宋_GB2312"/>
                <w:sz w:val="24"/>
                <w:lang w:eastAsia="zh-CN"/>
              </w:rPr>
              <w:t>和湖泊</w:t>
            </w:r>
            <w:r>
              <w:rPr>
                <w:rFonts w:hint="eastAsia" w:ascii="仿宋_GB2312" w:hAnsi="仿宋_GB2312" w:eastAsia="仿宋_GB2312" w:cs="仿宋_GB2312"/>
                <w:sz w:val="24"/>
              </w:rPr>
              <w:t>部门</w:t>
            </w:r>
          </w:p>
        </w:tc>
        <w:tc>
          <w:tcPr>
            <w:tcW w:w="265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有区域评价成果，原则上由审批主管部门出具意见</w:t>
            </w:r>
          </w:p>
        </w:tc>
        <w:tc>
          <w:tcPr>
            <w:tcW w:w="1313"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是\已纳入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608" w:type="dxa"/>
            <w:noWrap w:val="0"/>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w:t>
            </w:r>
          </w:p>
        </w:tc>
        <w:tc>
          <w:tcPr>
            <w:tcW w:w="2517"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非防洪建设项目洪水影响评价报告审批</w:t>
            </w:r>
          </w:p>
        </w:tc>
        <w:tc>
          <w:tcPr>
            <w:tcW w:w="172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水利</w:t>
            </w:r>
            <w:r>
              <w:rPr>
                <w:rFonts w:hint="eastAsia" w:ascii="仿宋_GB2312" w:hAnsi="仿宋_GB2312" w:eastAsia="仿宋_GB2312" w:cs="仿宋_GB2312"/>
                <w:sz w:val="24"/>
                <w:lang w:eastAsia="zh-CN"/>
              </w:rPr>
              <w:t>和湖泊</w:t>
            </w:r>
            <w:r>
              <w:rPr>
                <w:rFonts w:hint="eastAsia" w:ascii="仿宋_GB2312" w:hAnsi="仿宋_GB2312" w:eastAsia="仿宋_GB2312" w:cs="仿宋_GB2312"/>
                <w:sz w:val="24"/>
              </w:rPr>
              <w:t>部门</w:t>
            </w:r>
          </w:p>
        </w:tc>
        <w:tc>
          <w:tcPr>
            <w:tcW w:w="265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有区域评价成果，原则上由审批主管部门出具意见</w:t>
            </w:r>
          </w:p>
        </w:tc>
        <w:tc>
          <w:tcPr>
            <w:tcW w:w="1313"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是\已纳入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608" w:type="dxa"/>
            <w:noWrap w:val="0"/>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2517"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建设工程文物保护和考古许可</w:t>
            </w:r>
          </w:p>
        </w:tc>
        <w:tc>
          <w:tcPr>
            <w:tcW w:w="1724" w:type="dxa"/>
            <w:noWrap w:val="0"/>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文化和旅游部门</w:t>
            </w:r>
          </w:p>
        </w:tc>
        <w:tc>
          <w:tcPr>
            <w:tcW w:w="265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有区域评价成果，原则上由审批主管部门出具意见</w:t>
            </w:r>
          </w:p>
        </w:tc>
        <w:tc>
          <w:tcPr>
            <w:tcW w:w="1313"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是\已纳入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608" w:type="dxa"/>
            <w:noWrap w:val="0"/>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2517"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抗震设防要求的确定</w:t>
            </w:r>
          </w:p>
        </w:tc>
        <w:tc>
          <w:tcPr>
            <w:tcW w:w="1724" w:type="dxa"/>
            <w:noWrap w:val="0"/>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应急管理部门</w:t>
            </w:r>
          </w:p>
        </w:tc>
        <w:tc>
          <w:tcPr>
            <w:tcW w:w="265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有区域评价成果，原则上由审批主管部门出具意见</w:t>
            </w:r>
          </w:p>
        </w:tc>
        <w:tc>
          <w:tcPr>
            <w:tcW w:w="1313" w:type="dxa"/>
            <w:noWrap w:val="0"/>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是\已纳入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608" w:type="dxa"/>
            <w:noWrap w:val="0"/>
            <w:vAlign w:val="center"/>
          </w:tcPr>
          <w:p>
            <w:pPr>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12</w:t>
            </w:r>
          </w:p>
        </w:tc>
        <w:tc>
          <w:tcPr>
            <w:tcW w:w="2517" w:type="dxa"/>
            <w:noWrap w:val="0"/>
            <w:vAlign w:val="center"/>
          </w:tcPr>
          <w:p>
            <w:pPr>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组织气候可行性论证</w:t>
            </w:r>
            <w:r>
              <w:rPr>
                <w:rFonts w:hint="eastAsia" w:ascii="仿宋_GB2312" w:hAnsi="仿宋_GB2312" w:eastAsia="仿宋_GB2312" w:cs="仿宋_GB2312"/>
                <w:sz w:val="24"/>
                <w:lang w:eastAsia="zh-CN"/>
              </w:rPr>
              <w:t>……</w:t>
            </w:r>
          </w:p>
        </w:tc>
        <w:tc>
          <w:tcPr>
            <w:tcW w:w="1724" w:type="dxa"/>
            <w:noWrap w:val="0"/>
            <w:vAlign w:val="center"/>
          </w:tcPr>
          <w:p>
            <w:pPr>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气象部门</w:t>
            </w:r>
          </w:p>
        </w:tc>
        <w:tc>
          <w:tcPr>
            <w:tcW w:w="2654" w:type="dxa"/>
            <w:noWrap w:val="0"/>
            <w:vAlign w:val="center"/>
          </w:tcPr>
          <w:p>
            <w:pPr>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有区域评价成果，直接采纳</w:t>
            </w:r>
          </w:p>
        </w:tc>
        <w:tc>
          <w:tcPr>
            <w:tcW w:w="1313" w:type="dxa"/>
            <w:noWrap w:val="0"/>
            <w:vAlign w:val="center"/>
          </w:tcPr>
          <w:p>
            <w:pPr>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是\已纳入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608"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517"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p>
        </w:tc>
        <w:tc>
          <w:tcPr>
            <w:tcW w:w="172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p>
        </w:tc>
        <w:tc>
          <w:tcPr>
            <w:tcW w:w="2654"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p>
        </w:tc>
        <w:tc>
          <w:tcPr>
            <w:tcW w:w="1313"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p>
        </w:tc>
      </w:tr>
    </w:tbl>
    <w:p>
      <w:pPr>
        <w:rPr>
          <w:rFonts w:hint="default"/>
          <w:lang w:val="en-US" w:eastAsia="zh-CN"/>
        </w:rPr>
      </w:pPr>
    </w:p>
    <w:sectPr>
      <w:footerReference r:id="rId3" w:type="default"/>
      <w:pgSz w:w="11906" w:h="16838"/>
      <w:pgMar w:top="2098" w:right="1531" w:bottom="1757" w:left="1531"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2B346DF-559D-446C-B6FC-1202C5D84E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C4CCF6C-0A55-4247-A383-38628A7AD8F7}"/>
  </w:font>
  <w:font w:name="文鼎大标宋简">
    <w:panose1 w:val="02010609010101010101"/>
    <w:charset w:val="86"/>
    <w:family w:val="modern"/>
    <w:pitch w:val="default"/>
    <w:sig w:usb0="00000000" w:usb1="00000000" w:usb2="00000000" w:usb3="00000000" w:csb0="00000000" w:csb1="00000000"/>
    <w:embedRegular r:id="rId3" w:fontKey="{A2D9C6BB-7352-4083-ADE9-C9DA993874E4}"/>
  </w:font>
  <w:font w:name="仿宋_GB2312">
    <w:panose1 w:val="02010609030101010101"/>
    <w:charset w:val="86"/>
    <w:family w:val="modern"/>
    <w:pitch w:val="default"/>
    <w:sig w:usb0="00000001" w:usb1="080E0000" w:usb2="00000000" w:usb3="00000000" w:csb0="00040000" w:csb1="00000000"/>
    <w:embedRegular r:id="rId4" w:fontKey="{10E2D476-98DF-452F-ABCF-C0EB821A1CAF}"/>
  </w:font>
  <w:font w:name="楷体_GB2312">
    <w:panose1 w:val="02010609030101010101"/>
    <w:charset w:val="86"/>
    <w:family w:val="auto"/>
    <w:pitch w:val="default"/>
    <w:sig w:usb0="00000001" w:usb1="080E0000" w:usb2="00000000" w:usb3="00000000" w:csb0="00040000" w:csb1="00000000"/>
    <w:embedRegular r:id="rId5" w:fontKey="{A0AF2AF8-881E-41FF-B333-3D623E18703C}"/>
  </w:font>
  <w:font w:name="方正小标宋简体">
    <w:panose1 w:val="02010601030101010101"/>
    <w:charset w:val="86"/>
    <w:family w:val="auto"/>
    <w:pitch w:val="default"/>
    <w:sig w:usb0="00000001" w:usb1="080E0000" w:usb2="00000000" w:usb3="00000000" w:csb0="00040000" w:csb1="00000000"/>
    <w:embedRegular r:id="rId6" w:fontKey="{D39D25B7-E84A-4314-8388-74F5C9DC651D}"/>
  </w:font>
  <w:font w:name="仿宋">
    <w:panose1 w:val="02010609060101010101"/>
    <w:charset w:val="86"/>
    <w:family w:val="auto"/>
    <w:pitch w:val="default"/>
    <w:sig w:usb0="800002BF" w:usb1="38CF7CFA" w:usb2="00000016" w:usb3="00000000" w:csb0="00040001" w:csb1="00000000"/>
    <w:embedRegular r:id="rId7" w:fontKey="{A9F17AB9-8CD1-445F-A320-0C30AF1AF2ED}"/>
  </w:font>
  <w:font w:name="方正小标宋_GBK">
    <w:panose1 w:val="02000000000000000000"/>
    <w:charset w:val="86"/>
    <w:family w:val="script"/>
    <w:pitch w:val="default"/>
    <w:sig w:usb0="00000000" w:usb1="00000000" w:usb2="00000000" w:usb3="00000000" w:csb0="00000000" w:csb1="00000000"/>
    <w:embedRegular r:id="rId8" w:fontKey="{D3188F3A-7149-4ADC-AAE2-2C60100065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mI5YzM4Y2MxYzAwOTgzYzNkYWYwNjk4ODVkOGYifQ=="/>
  </w:docVars>
  <w:rsids>
    <w:rsidRoot w:val="00000000"/>
    <w:rsid w:val="000E0F23"/>
    <w:rsid w:val="003B4DE3"/>
    <w:rsid w:val="006462BA"/>
    <w:rsid w:val="00675481"/>
    <w:rsid w:val="008102F1"/>
    <w:rsid w:val="00975D66"/>
    <w:rsid w:val="00D23242"/>
    <w:rsid w:val="012A2089"/>
    <w:rsid w:val="013F0707"/>
    <w:rsid w:val="01513954"/>
    <w:rsid w:val="01927DB8"/>
    <w:rsid w:val="019C0ECA"/>
    <w:rsid w:val="01D60B10"/>
    <w:rsid w:val="01DD1E9F"/>
    <w:rsid w:val="01FA65AD"/>
    <w:rsid w:val="02602EF3"/>
    <w:rsid w:val="02EA018D"/>
    <w:rsid w:val="03172BCA"/>
    <w:rsid w:val="03AD58A1"/>
    <w:rsid w:val="03B77AAE"/>
    <w:rsid w:val="03D90444"/>
    <w:rsid w:val="044E2882"/>
    <w:rsid w:val="045126D0"/>
    <w:rsid w:val="04934A97"/>
    <w:rsid w:val="049C1B9D"/>
    <w:rsid w:val="04BC3FEE"/>
    <w:rsid w:val="04F33787"/>
    <w:rsid w:val="05123C0E"/>
    <w:rsid w:val="05235D8E"/>
    <w:rsid w:val="056F72B2"/>
    <w:rsid w:val="0591547A"/>
    <w:rsid w:val="05A21435"/>
    <w:rsid w:val="05AF5900"/>
    <w:rsid w:val="05BA7D09"/>
    <w:rsid w:val="05BB272D"/>
    <w:rsid w:val="05CC5931"/>
    <w:rsid w:val="05FF5014"/>
    <w:rsid w:val="066C0621"/>
    <w:rsid w:val="067573AB"/>
    <w:rsid w:val="069074E0"/>
    <w:rsid w:val="06C61153"/>
    <w:rsid w:val="073C31C4"/>
    <w:rsid w:val="076E22D1"/>
    <w:rsid w:val="0868085C"/>
    <w:rsid w:val="08C2594B"/>
    <w:rsid w:val="08E6100B"/>
    <w:rsid w:val="09414AC1"/>
    <w:rsid w:val="09995076"/>
    <w:rsid w:val="0A12645E"/>
    <w:rsid w:val="0A195A3E"/>
    <w:rsid w:val="0ADD5B52"/>
    <w:rsid w:val="0B73117E"/>
    <w:rsid w:val="0B7C060F"/>
    <w:rsid w:val="0BDA2FAB"/>
    <w:rsid w:val="0BE43E2A"/>
    <w:rsid w:val="0C6375E7"/>
    <w:rsid w:val="0CD904DE"/>
    <w:rsid w:val="0D200E92"/>
    <w:rsid w:val="0D590805"/>
    <w:rsid w:val="0DC5681D"/>
    <w:rsid w:val="0E1525C8"/>
    <w:rsid w:val="0E1A131A"/>
    <w:rsid w:val="0E1F5A36"/>
    <w:rsid w:val="0F2D75D7"/>
    <w:rsid w:val="0FCC70AF"/>
    <w:rsid w:val="0FFB2B3C"/>
    <w:rsid w:val="101F3682"/>
    <w:rsid w:val="102869DB"/>
    <w:rsid w:val="109202F8"/>
    <w:rsid w:val="10B41973"/>
    <w:rsid w:val="10B459E4"/>
    <w:rsid w:val="10DB27D4"/>
    <w:rsid w:val="110A7E8F"/>
    <w:rsid w:val="11C302D6"/>
    <w:rsid w:val="12080872"/>
    <w:rsid w:val="1288550F"/>
    <w:rsid w:val="12957C2C"/>
    <w:rsid w:val="129B16E6"/>
    <w:rsid w:val="12DA642F"/>
    <w:rsid w:val="12F6198D"/>
    <w:rsid w:val="13021765"/>
    <w:rsid w:val="134B39DB"/>
    <w:rsid w:val="135950FD"/>
    <w:rsid w:val="136E2F02"/>
    <w:rsid w:val="13A20852"/>
    <w:rsid w:val="13BA5B9C"/>
    <w:rsid w:val="15595889"/>
    <w:rsid w:val="1585042C"/>
    <w:rsid w:val="15BB3E4D"/>
    <w:rsid w:val="16657205"/>
    <w:rsid w:val="16BF34C9"/>
    <w:rsid w:val="16C32FBA"/>
    <w:rsid w:val="18190884"/>
    <w:rsid w:val="181B0CAC"/>
    <w:rsid w:val="18291F9C"/>
    <w:rsid w:val="18351C95"/>
    <w:rsid w:val="18A06DAC"/>
    <w:rsid w:val="18E13BCB"/>
    <w:rsid w:val="1A136006"/>
    <w:rsid w:val="1A380BC7"/>
    <w:rsid w:val="1A7D269C"/>
    <w:rsid w:val="1A824F3A"/>
    <w:rsid w:val="1A976C37"/>
    <w:rsid w:val="1B171B26"/>
    <w:rsid w:val="1B245FF1"/>
    <w:rsid w:val="1B55264E"/>
    <w:rsid w:val="1B6040D1"/>
    <w:rsid w:val="1C1918CE"/>
    <w:rsid w:val="1CCA172F"/>
    <w:rsid w:val="1D3C5874"/>
    <w:rsid w:val="1D4B5AB7"/>
    <w:rsid w:val="1D81772B"/>
    <w:rsid w:val="1D8669FF"/>
    <w:rsid w:val="1EDA3596"/>
    <w:rsid w:val="1EEA12FF"/>
    <w:rsid w:val="1F1A1BE5"/>
    <w:rsid w:val="1F412D52"/>
    <w:rsid w:val="20216FA3"/>
    <w:rsid w:val="202251F5"/>
    <w:rsid w:val="20B3409F"/>
    <w:rsid w:val="20FA1CCE"/>
    <w:rsid w:val="21366A7E"/>
    <w:rsid w:val="21562C7C"/>
    <w:rsid w:val="21B5609F"/>
    <w:rsid w:val="21D02A2F"/>
    <w:rsid w:val="22121299"/>
    <w:rsid w:val="221A0A87"/>
    <w:rsid w:val="221F7512"/>
    <w:rsid w:val="223E3E3C"/>
    <w:rsid w:val="22521696"/>
    <w:rsid w:val="22C1024B"/>
    <w:rsid w:val="22DA1DB7"/>
    <w:rsid w:val="231106F4"/>
    <w:rsid w:val="23155396"/>
    <w:rsid w:val="233D40F4"/>
    <w:rsid w:val="23867849"/>
    <w:rsid w:val="23AC3027"/>
    <w:rsid w:val="240E4629"/>
    <w:rsid w:val="24210D1E"/>
    <w:rsid w:val="246F29A6"/>
    <w:rsid w:val="248E30B9"/>
    <w:rsid w:val="24A0536B"/>
    <w:rsid w:val="24A56235"/>
    <w:rsid w:val="251F24EB"/>
    <w:rsid w:val="255C5AB5"/>
    <w:rsid w:val="26103D41"/>
    <w:rsid w:val="26217CFD"/>
    <w:rsid w:val="26D44D6F"/>
    <w:rsid w:val="26FC6E3F"/>
    <w:rsid w:val="2759382E"/>
    <w:rsid w:val="27B9574A"/>
    <w:rsid w:val="27ED433A"/>
    <w:rsid w:val="28550131"/>
    <w:rsid w:val="28B201C4"/>
    <w:rsid w:val="28C242D3"/>
    <w:rsid w:val="290A4A78"/>
    <w:rsid w:val="29791BFE"/>
    <w:rsid w:val="29ED4E65"/>
    <w:rsid w:val="2A2102CB"/>
    <w:rsid w:val="2A252C00"/>
    <w:rsid w:val="2A2C0A1E"/>
    <w:rsid w:val="2A5559CD"/>
    <w:rsid w:val="2AF14198"/>
    <w:rsid w:val="2B193CEA"/>
    <w:rsid w:val="2B5F2482"/>
    <w:rsid w:val="2BAC3997"/>
    <w:rsid w:val="2BCF3D57"/>
    <w:rsid w:val="2BD30FEC"/>
    <w:rsid w:val="2BE05E12"/>
    <w:rsid w:val="2C0559CB"/>
    <w:rsid w:val="2C212804"/>
    <w:rsid w:val="2C7843EE"/>
    <w:rsid w:val="2C7E7C57"/>
    <w:rsid w:val="2CE2032D"/>
    <w:rsid w:val="2D087E61"/>
    <w:rsid w:val="2D283AD9"/>
    <w:rsid w:val="2D4B565F"/>
    <w:rsid w:val="2DAF3E40"/>
    <w:rsid w:val="2E162111"/>
    <w:rsid w:val="2E6609A2"/>
    <w:rsid w:val="2EDA0255"/>
    <w:rsid w:val="2EE63891"/>
    <w:rsid w:val="2F212B1B"/>
    <w:rsid w:val="2F5A7DDB"/>
    <w:rsid w:val="2F756530"/>
    <w:rsid w:val="2FB973DA"/>
    <w:rsid w:val="2FE3152D"/>
    <w:rsid w:val="2FFB511A"/>
    <w:rsid w:val="301707B1"/>
    <w:rsid w:val="301B57BD"/>
    <w:rsid w:val="30BA4FD6"/>
    <w:rsid w:val="30F05651"/>
    <w:rsid w:val="31132938"/>
    <w:rsid w:val="33A00E2E"/>
    <w:rsid w:val="340F5638"/>
    <w:rsid w:val="345952AA"/>
    <w:rsid w:val="347F27BE"/>
    <w:rsid w:val="34EA39B0"/>
    <w:rsid w:val="34F34F5A"/>
    <w:rsid w:val="361C228F"/>
    <w:rsid w:val="36321AB2"/>
    <w:rsid w:val="366C0B20"/>
    <w:rsid w:val="36F269A6"/>
    <w:rsid w:val="3891486E"/>
    <w:rsid w:val="39373552"/>
    <w:rsid w:val="39D509ED"/>
    <w:rsid w:val="3A3E28D1"/>
    <w:rsid w:val="3A557B1D"/>
    <w:rsid w:val="3B653D90"/>
    <w:rsid w:val="3BD5458B"/>
    <w:rsid w:val="3C4C1ED4"/>
    <w:rsid w:val="3D0311E8"/>
    <w:rsid w:val="3D2A34E3"/>
    <w:rsid w:val="3D4E0F7F"/>
    <w:rsid w:val="3D5F318D"/>
    <w:rsid w:val="3DEB0EC4"/>
    <w:rsid w:val="3E1A70B4"/>
    <w:rsid w:val="3EC139D3"/>
    <w:rsid w:val="3EE22995"/>
    <w:rsid w:val="3F546091"/>
    <w:rsid w:val="400242A3"/>
    <w:rsid w:val="40291830"/>
    <w:rsid w:val="40424C44"/>
    <w:rsid w:val="405D597D"/>
    <w:rsid w:val="406665E0"/>
    <w:rsid w:val="40D6173F"/>
    <w:rsid w:val="40DE261A"/>
    <w:rsid w:val="4102137C"/>
    <w:rsid w:val="410D1152"/>
    <w:rsid w:val="41436921"/>
    <w:rsid w:val="416D4E4C"/>
    <w:rsid w:val="417D7802"/>
    <w:rsid w:val="419B48D2"/>
    <w:rsid w:val="430C7A94"/>
    <w:rsid w:val="43566DE0"/>
    <w:rsid w:val="43733A60"/>
    <w:rsid w:val="43C27FD1"/>
    <w:rsid w:val="44531571"/>
    <w:rsid w:val="445825AA"/>
    <w:rsid w:val="44A8366B"/>
    <w:rsid w:val="44D252C5"/>
    <w:rsid w:val="44FF5255"/>
    <w:rsid w:val="45196317"/>
    <w:rsid w:val="451F203D"/>
    <w:rsid w:val="4533406C"/>
    <w:rsid w:val="45594965"/>
    <w:rsid w:val="45863281"/>
    <w:rsid w:val="462E1DF2"/>
    <w:rsid w:val="46C22AC9"/>
    <w:rsid w:val="46C95B1B"/>
    <w:rsid w:val="47C6205A"/>
    <w:rsid w:val="47EB386F"/>
    <w:rsid w:val="48036E0A"/>
    <w:rsid w:val="4867383D"/>
    <w:rsid w:val="48C90054"/>
    <w:rsid w:val="49043360"/>
    <w:rsid w:val="49115557"/>
    <w:rsid w:val="491D214E"/>
    <w:rsid w:val="495E69EE"/>
    <w:rsid w:val="49E0309E"/>
    <w:rsid w:val="49EA15C8"/>
    <w:rsid w:val="49F36F04"/>
    <w:rsid w:val="4A315EB1"/>
    <w:rsid w:val="4A3D6810"/>
    <w:rsid w:val="4A530748"/>
    <w:rsid w:val="4AAA3A75"/>
    <w:rsid w:val="4AD36F68"/>
    <w:rsid w:val="4BC468B1"/>
    <w:rsid w:val="4BD27220"/>
    <w:rsid w:val="4C3C0B3D"/>
    <w:rsid w:val="4C742085"/>
    <w:rsid w:val="4CB05381"/>
    <w:rsid w:val="4CD82614"/>
    <w:rsid w:val="4D3A4F19"/>
    <w:rsid w:val="4DF76577"/>
    <w:rsid w:val="4E121B55"/>
    <w:rsid w:val="4E2E1CF2"/>
    <w:rsid w:val="4EAB7DB0"/>
    <w:rsid w:val="4EFB6A8D"/>
    <w:rsid w:val="4F277882"/>
    <w:rsid w:val="4F5A37B4"/>
    <w:rsid w:val="4F624D5E"/>
    <w:rsid w:val="4F65643A"/>
    <w:rsid w:val="4F7B197C"/>
    <w:rsid w:val="4F820F5D"/>
    <w:rsid w:val="4F9547EC"/>
    <w:rsid w:val="50795536"/>
    <w:rsid w:val="50CA6717"/>
    <w:rsid w:val="516E1798"/>
    <w:rsid w:val="51B03B5F"/>
    <w:rsid w:val="51BA0C5F"/>
    <w:rsid w:val="51D225B2"/>
    <w:rsid w:val="51E8779D"/>
    <w:rsid w:val="51F7178E"/>
    <w:rsid w:val="52680B7D"/>
    <w:rsid w:val="52B256B5"/>
    <w:rsid w:val="53597006"/>
    <w:rsid w:val="535F14C0"/>
    <w:rsid w:val="53FD0BB2"/>
    <w:rsid w:val="540E7263"/>
    <w:rsid w:val="54F64071"/>
    <w:rsid w:val="55004FA0"/>
    <w:rsid w:val="55325F31"/>
    <w:rsid w:val="55393E6B"/>
    <w:rsid w:val="55520EA9"/>
    <w:rsid w:val="5579070C"/>
    <w:rsid w:val="55E30CB3"/>
    <w:rsid w:val="567333AD"/>
    <w:rsid w:val="56892BD1"/>
    <w:rsid w:val="56933A4F"/>
    <w:rsid w:val="5697353F"/>
    <w:rsid w:val="56A50035"/>
    <w:rsid w:val="56B3783F"/>
    <w:rsid w:val="56BE0ACC"/>
    <w:rsid w:val="56C05597"/>
    <w:rsid w:val="57704D38"/>
    <w:rsid w:val="577934B1"/>
    <w:rsid w:val="57882E88"/>
    <w:rsid w:val="580B5F93"/>
    <w:rsid w:val="58186A70"/>
    <w:rsid w:val="58474AF1"/>
    <w:rsid w:val="584E4915"/>
    <w:rsid w:val="58666421"/>
    <w:rsid w:val="58F20F01"/>
    <w:rsid w:val="599B3347"/>
    <w:rsid w:val="599C69C3"/>
    <w:rsid w:val="59A65848"/>
    <w:rsid w:val="59A87812"/>
    <w:rsid w:val="59C503C4"/>
    <w:rsid w:val="5A163854"/>
    <w:rsid w:val="5B5B66DC"/>
    <w:rsid w:val="5B7C0F56"/>
    <w:rsid w:val="5BAF4E87"/>
    <w:rsid w:val="5BC75AD2"/>
    <w:rsid w:val="5C0A3047"/>
    <w:rsid w:val="5C250E3D"/>
    <w:rsid w:val="5CCC3817"/>
    <w:rsid w:val="5D1551BE"/>
    <w:rsid w:val="5D5A1089"/>
    <w:rsid w:val="5DBB2954"/>
    <w:rsid w:val="5DE43240"/>
    <w:rsid w:val="5E6D4B86"/>
    <w:rsid w:val="5E801A7A"/>
    <w:rsid w:val="601D399A"/>
    <w:rsid w:val="605B738C"/>
    <w:rsid w:val="60C90799"/>
    <w:rsid w:val="60CC64DC"/>
    <w:rsid w:val="6112752A"/>
    <w:rsid w:val="622F6D22"/>
    <w:rsid w:val="62D55DFF"/>
    <w:rsid w:val="62DD052C"/>
    <w:rsid w:val="62F15D85"/>
    <w:rsid w:val="63097573"/>
    <w:rsid w:val="631031D9"/>
    <w:rsid w:val="633A3BD0"/>
    <w:rsid w:val="634D373C"/>
    <w:rsid w:val="64075551"/>
    <w:rsid w:val="646D3B32"/>
    <w:rsid w:val="64A37553"/>
    <w:rsid w:val="65580203"/>
    <w:rsid w:val="65BC7F28"/>
    <w:rsid w:val="65C85205"/>
    <w:rsid w:val="66C95B71"/>
    <w:rsid w:val="6712451C"/>
    <w:rsid w:val="671604B0"/>
    <w:rsid w:val="672E75A8"/>
    <w:rsid w:val="67F81964"/>
    <w:rsid w:val="68646FFA"/>
    <w:rsid w:val="6922313D"/>
    <w:rsid w:val="69935128"/>
    <w:rsid w:val="69C93746"/>
    <w:rsid w:val="6A1A3E14"/>
    <w:rsid w:val="6A617C95"/>
    <w:rsid w:val="6AAB0F10"/>
    <w:rsid w:val="6AED5756"/>
    <w:rsid w:val="6AEF7B8C"/>
    <w:rsid w:val="6B712159"/>
    <w:rsid w:val="6B7E3A6B"/>
    <w:rsid w:val="6BC740A8"/>
    <w:rsid w:val="6BEE6789"/>
    <w:rsid w:val="6BF40694"/>
    <w:rsid w:val="6BFB3E5A"/>
    <w:rsid w:val="6C1B780D"/>
    <w:rsid w:val="6CC938CF"/>
    <w:rsid w:val="6CF50E56"/>
    <w:rsid w:val="6CF7104C"/>
    <w:rsid w:val="6DB86AA0"/>
    <w:rsid w:val="6DD644F6"/>
    <w:rsid w:val="6E0E3FC2"/>
    <w:rsid w:val="6E4771A1"/>
    <w:rsid w:val="6E4A5C33"/>
    <w:rsid w:val="6E6938D4"/>
    <w:rsid w:val="6E755ABD"/>
    <w:rsid w:val="6E8925B0"/>
    <w:rsid w:val="6E9323E7"/>
    <w:rsid w:val="6EF77BA4"/>
    <w:rsid w:val="6F406688"/>
    <w:rsid w:val="6F4D6A39"/>
    <w:rsid w:val="6FB95E7D"/>
    <w:rsid w:val="6FFB6495"/>
    <w:rsid w:val="708E6FA6"/>
    <w:rsid w:val="7098749B"/>
    <w:rsid w:val="70BC3E77"/>
    <w:rsid w:val="712E4649"/>
    <w:rsid w:val="71681909"/>
    <w:rsid w:val="71867FE1"/>
    <w:rsid w:val="719426FE"/>
    <w:rsid w:val="71C11BF7"/>
    <w:rsid w:val="720553A9"/>
    <w:rsid w:val="727A6164"/>
    <w:rsid w:val="72987FCC"/>
    <w:rsid w:val="72DF3E4C"/>
    <w:rsid w:val="739517D0"/>
    <w:rsid w:val="73AB01C3"/>
    <w:rsid w:val="73B01345"/>
    <w:rsid w:val="73B21561"/>
    <w:rsid w:val="741D7F34"/>
    <w:rsid w:val="744D7FDA"/>
    <w:rsid w:val="74566CBD"/>
    <w:rsid w:val="74D6127F"/>
    <w:rsid w:val="74D80B53"/>
    <w:rsid w:val="7542441C"/>
    <w:rsid w:val="756D47FB"/>
    <w:rsid w:val="75D14D01"/>
    <w:rsid w:val="763F1E3E"/>
    <w:rsid w:val="76414FA1"/>
    <w:rsid w:val="76684159"/>
    <w:rsid w:val="77106CCA"/>
    <w:rsid w:val="77675BCD"/>
    <w:rsid w:val="77D221D2"/>
    <w:rsid w:val="77EB5041"/>
    <w:rsid w:val="783C36E0"/>
    <w:rsid w:val="78BE0BBA"/>
    <w:rsid w:val="78C7639D"/>
    <w:rsid w:val="794E7AD8"/>
    <w:rsid w:val="796C437B"/>
    <w:rsid w:val="7A835A05"/>
    <w:rsid w:val="7AFC0A51"/>
    <w:rsid w:val="7B05466C"/>
    <w:rsid w:val="7B1228E5"/>
    <w:rsid w:val="7B7F61CD"/>
    <w:rsid w:val="7BF30969"/>
    <w:rsid w:val="7C31085E"/>
    <w:rsid w:val="7CB66A99"/>
    <w:rsid w:val="7CBE2D25"/>
    <w:rsid w:val="7D0B583E"/>
    <w:rsid w:val="7D5B0573"/>
    <w:rsid w:val="7D836677"/>
    <w:rsid w:val="7DAF3CE1"/>
    <w:rsid w:val="7DC73E5B"/>
    <w:rsid w:val="7DE55DD8"/>
    <w:rsid w:val="7E857F9E"/>
    <w:rsid w:val="7E9834B0"/>
    <w:rsid w:val="7F5B08E9"/>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39"/>
    <w:pPr>
      <w:tabs>
        <w:tab w:val="right" w:leader="dot" w:pos="8296"/>
      </w:tabs>
      <w:spacing w:line="600" w:lineRule="exact"/>
      <w:ind w:left="420" w:leftChars="200"/>
    </w:pPr>
  </w:style>
  <w:style w:type="character" w:styleId="8">
    <w:name w:val="Hyperlink"/>
    <w:basedOn w:val="7"/>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5339</Words>
  <Characters>5501</Characters>
  <Lines>0</Lines>
  <Paragraphs>0</Paragraphs>
  <TotalTime>0</TotalTime>
  <ScaleCrop>false</ScaleCrop>
  <LinksUpToDate>false</LinksUpToDate>
  <CharactersWithSpaces>5519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2022-05-20T05:31:00Z</dcterms:created>
  <dc:creator>Administrator</dc:creator>
  <cp:lastModifiedBy>1907</cp:lastModifiedBy>
  <cp:lastPrinted>2023-08-21T02:19:00Z</cp:lastPrinted>
  <dcterms:modified xsi:type="dcterms:W3CDTF">2023-08-21T02:31:40Z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A6404608E3FF4F8EB8C2BD69149EDCBE_13</vt:lpwstr>
  </property>
</Properties>
</file>